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3543B" w14:textId="19266D8D" w:rsidR="00CB69E4" w:rsidRPr="004B582F" w:rsidRDefault="00FF3386" w:rsidP="00CB69E4">
      <w:pPr>
        <w:pBdr>
          <w:bottom w:val="single" w:sz="6" w:space="0" w:color="auto"/>
        </w:pBd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INFORMAÇÃO-PROVA</w:t>
      </w:r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t xml:space="preserve"> - 202</w:t>
      </w:r>
      <w:r w:rsidR="00A577B9">
        <w:rPr>
          <w:rFonts w:asciiTheme="majorHAnsi" w:hAnsiTheme="majorHAnsi" w:cstheme="majorHAnsi"/>
          <w:b/>
          <w:bCs/>
          <w:sz w:val="28"/>
          <w:szCs w:val="28"/>
        </w:rPr>
        <w:t>4</w:t>
      </w:r>
      <w:r w:rsidR="00CB69E4" w:rsidRPr="00CB69E4">
        <w:rPr>
          <w:rFonts w:asciiTheme="majorHAnsi" w:hAnsiTheme="majorHAnsi" w:cstheme="majorHAnsi"/>
          <w:b/>
          <w:bCs/>
          <w:sz w:val="28"/>
          <w:szCs w:val="28"/>
        </w:rPr>
        <w:br/>
      </w:r>
      <w:r w:rsidR="0015130B">
        <w:rPr>
          <w:rFonts w:asciiTheme="majorHAnsi" w:hAnsiTheme="majorHAnsi" w:cstheme="majorHAnsi"/>
          <w:b/>
          <w:bCs/>
          <w:sz w:val="28"/>
          <w:szCs w:val="28"/>
        </w:rPr>
        <w:t>ECONOMIA</w:t>
      </w:r>
    </w:p>
    <w:p w14:paraId="37733559" w14:textId="77777777" w:rsidR="004B582F" w:rsidRDefault="004B582F" w:rsidP="00CB69E4">
      <w:pPr>
        <w:jc w:val="both"/>
        <w:rPr>
          <w:rFonts w:asciiTheme="majorHAnsi" w:hAnsiTheme="majorHAnsi" w:cstheme="majorHAnsi"/>
          <w:b/>
          <w:bCs/>
        </w:rPr>
      </w:pPr>
    </w:p>
    <w:p w14:paraId="59D26FF9" w14:textId="77777777" w:rsidR="004B582F" w:rsidRPr="004B582F" w:rsidRDefault="004B582F" w:rsidP="0015130B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4B582F">
        <w:rPr>
          <w:rFonts w:asciiTheme="majorHAnsi" w:hAnsiTheme="majorHAnsi" w:cstheme="majorHAnsi"/>
          <w:b/>
          <w:bCs/>
        </w:rPr>
        <w:t>PROVA DE AVALIAÇÃO DE CONHECIMENTOS</w:t>
      </w:r>
    </w:p>
    <w:p w14:paraId="791E78B9" w14:textId="6CC4DB3D" w:rsidR="00BE003F" w:rsidRPr="00BE003F" w:rsidRDefault="00BE003F" w:rsidP="0015130B">
      <w:pPr>
        <w:pStyle w:val="NormalWeb"/>
        <w:spacing w:before="0" w:beforeAutospacing="0"/>
        <w:jc w:val="both"/>
        <w:rPr>
          <w:rFonts w:asciiTheme="majorHAnsi" w:hAnsiTheme="majorHAnsi" w:cstheme="majorHAnsi"/>
        </w:rPr>
      </w:pPr>
      <w:r w:rsidRPr="00BE003F">
        <w:rPr>
          <w:rFonts w:asciiTheme="majorHAnsi" w:hAnsiTheme="majorHAnsi" w:cstheme="majorHAnsi"/>
        </w:rPr>
        <w:t xml:space="preserve">O presente documento divulga informação relativa à prova de avaliação do Concurso Especial de ingresso dos alunos de dupla titulação de nível secundário e cursos artísticos especializados em licenciaturas da região norte da disciplina de </w:t>
      </w:r>
      <w:r w:rsidR="0015130B">
        <w:rPr>
          <w:rFonts w:asciiTheme="majorHAnsi" w:hAnsiTheme="majorHAnsi" w:cstheme="majorHAnsi"/>
        </w:rPr>
        <w:t>Economia</w:t>
      </w:r>
      <w:r w:rsidRPr="00BE003F">
        <w:rPr>
          <w:rFonts w:asciiTheme="majorHAnsi" w:hAnsiTheme="majorHAnsi" w:cstheme="majorHAnsi"/>
        </w:rPr>
        <w:t>, a realizar em 202</w:t>
      </w:r>
      <w:r w:rsidR="00A577B9">
        <w:rPr>
          <w:rFonts w:asciiTheme="majorHAnsi" w:hAnsiTheme="majorHAnsi" w:cstheme="majorHAnsi"/>
        </w:rPr>
        <w:t>4</w:t>
      </w:r>
      <w:r w:rsidRPr="00BE003F">
        <w:rPr>
          <w:rFonts w:asciiTheme="majorHAnsi" w:hAnsiTheme="majorHAnsi" w:cstheme="majorHAnsi"/>
        </w:rPr>
        <w:t>, nomeadamente no que se refere:</w:t>
      </w:r>
    </w:p>
    <w:p w14:paraId="210A462C" w14:textId="77777777" w:rsidR="00CB69E4" w:rsidRPr="00CB69E4" w:rsidRDefault="00CB69E4" w:rsidP="00CB69E4">
      <w:pPr>
        <w:rPr>
          <w:rFonts w:asciiTheme="majorHAnsi" w:hAnsiTheme="majorHAnsi" w:cstheme="majorHAnsi"/>
        </w:rPr>
      </w:pPr>
      <w:r w:rsidRPr="00CB69E4">
        <w:rPr>
          <w:rFonts w:asciiTheme="majorHAnsi" w:hAnsiTheme="majorHAnsi" w:cstheme="majorHAnsi"/>
        </w:rPr>
        <w:t>• Objeto de avaliação</w:t>
      </w:r>
      <w:r w:rsidRPr="00CB69E4">
        <w:rPr>
          <w:rFonts w:asciiTheme="majorHAnsi" w:hAnsiTheme="majorHAnsi" w:cstheme="majorHAnsi"/>
        </w:rPr>
        <w:br/>
        <w:t>• Caracterização da prova</w:t>
      </w:r>
      <w:r w:rsidRPr="00CB69E4">
        <w:rPr>
          <w:rFonts w:asciiTheme="majorHAnsi" w:hAnsiTheme="majorHAnsi" w:cstheme="majorHAnsi"/>
        </w:rPr>
        <w:br/>
        <w:t>• Material</w:t>
      </w:r>
      <w:r w:rsidRPr="00CB69E4">
        <w:rPr>
          <w:rFonts w:asciiTheme="majorHAnsi" w:hAnsiTheme="majorHAnsi" w:cstheme="majorHAnsi"/>
        </w:rPr>
        <w:br/>
        <w:t>• Duração</w:t>
      </w:r>
    </w:p>
    <w:p w14:paraId="2232CE4B" w14:textId="77777777" w:rsidR="00CB69E4" w:rsidRDefault="00CB69E4" w:rsidP="0015130B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</w:rPr>
        <w:br/>
      </w:r>
      <w:r w:rsidRPr="00CB69E4">
        <w:rPr>
          <w:rFonts w:asciiTheme="majorHAnsi" w:hAnsiTheme="majorHAnsi" w:cstheme="majorHAnsi"/>
          <w:b/>
          <w:bCs/>
        </w:rPr>
        <w:t>OBJETO DE AVALIAÇÃO</w:t>
      </w:r>
    </w:p>
    <w:p w14:paraId="1220D197" w14:textId="62844C9B" w:rsidR="0015130B" w:rsidRPr="003B720D" w:rsidRDefault="003A5B9E" w:rsidP="00A23C4E">
      <w:pPr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3B720D">
        <w:rPr>
          <w:rFonts w:asciiTheme="majorHAnsi" w:hAnsiTheme="majorHAnsi" w:cstheme="majorHAnsi"/>
          <w:sz w:val="24"/>
          <w:szCs w:val="24"/>
        </w:rPr>
        <w:t xml:space="preserve">A prova tem por referência as </w:t>
      </w:r>
      <w:hyperlink r:id="rId7" w:history="1">
        <w:r w:rsidRPr="003B720D">
          <w:rPr>
            <w:rStyle w:val="Hiperligao"/>
            <w:rFonts w:asciiTheme="majorHAnsi" w:eastAsia="Times New Roman" w:hAnsiTheme="majorHAnsi" w:cstheme="majorHAnsi"/>
            <w:sz w:val="24"/>
            <w:szCs w:val="24"/>
            <w:lang w:eastAsia="pt-PT"/>
          </w:rPr>
          <w:t>Aprendizagens Essenciais das disciplinas das componentes de formação sociocultural e científica dos Cursos Profissionais</w:t>
        </w:r>
      </w:hyperlink>
      <w:r w:rsidRPr="003B720D">
        <w:rPr>
          <w:rFonts w:asciiTheme="majorHAnsi" w:eastAsia="Times New Roman" w:hAnsiTheme="majorHAnsi" w:cstheme="majorHAnsi"/>
          <w:color w:val="4C4C4C"/>
          <w:sz w:val="24"/>
          <w:szCs w:val="24"/>
          <w:lang w:eastAsia="pt-PT"/>
        </w:rPr>
        <w:t xml:space="preserve">, </w:t>
      </w:r>
      <w:r w:rsidR="003B720D" w:rsidRPr="003B720D">
        <w:rPr>
          <w:rFonts w:asciiTheme="majorHAnsi" w:eastAsia="Times New Roman" w:hAnsiTheme="majorHAnsi" w:cstheme="majorHAnsi"/>
          <w:color w:val="000000"/>
          <w:sz w:val="24"/>
          <w:szCs w:val="24"/>
          <w:shd w:val="clear" w:color="auto" w:fill="FFFFFF"/>
          <w:lang w:eastAsia="pt-PT"/>
        </w:rPr>
        <w:t>de acordo com o despacho n.º 7414/2020, de 24 de julho</w:t>
      </w:r>
      <w:r w:rsidR="003B720D" w:rsidRPr="003B720D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, </w:t>
      </w:r>
      <w:r w:rsidRPr="003B720D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em concreto para a disciplina de </w:t>
      </w:r>
      <w:r w:rsidRPr="003B720D">
        <w:rPr>
          <w:rFonts w:asciiTheme="majorHAnsi" w:eastAsia="Times New Roman" w:hAnsiTheme="majorHAnsi" w:cstheme="majorHAnsi"/>
          <w:b/>
          <w:bCs/>
          <w:sz w:val="24"/>
          <w:szCs w:val="24"/>
          <w:lang w:eastAsia="pt-PT"/>
        </w:rPr>
        <w:t>Economia</w:t>
      </w:r>
      <w:r w:rsidR="003F077C" w:rsidRPr="003B720D">
        <w:rPr>
          <w:rFonts w:asciiTheme="majorHAnsi" w:eastAsia="Times New Roman" w:hAnsiTheme="majorHAnsi" w:cstheme="majorHAnsi"/>
          <w:sz w:val="24"/>
          <w:szCs w:val="24"/>
          <w:lang w:eastAsia="pt-PT"/>
        </w:rPr>
        <w:t>,</w:t>
      </w:r>
      <w:r w:rsidRPr="003B720D">
        <w:rPr>
          <w:rFonts w:asciiTheme="majorHAnsi" w:hAnsiTheme="majorHAnsi" w:cstheme="majorHAnsi"/>
          <w:sz w:val="24"/>
          <w:szCs w:val="24"/>
        </w:rPr>
        <w:t xml:space="preserve"> e permite avaliar a aprendizagem passível de avaliação numa prova escrita de duração limitada</w:t>
      </w:r>
      <w:r w:rsidR="0015130B" w:rsidRPr="003B720D">
        <w:rPr>
          <w:rFonts w:asciiTheme="majorHAnsi" w:hAnsiTheme="majorHAnsi" w:cstheme="majorHAnsi"/>
          <w:color w:val="242021"/>
          <w:sz w:val="24"/>
          <w:szCs w:val="24"/>
        </w:rPr>
        <w:t>, incidindo nomeadamente sobre as competências que se apresentam a seguir:</w:t>
      </w:r>
    </w:p>
    <w:p w14:paraId="10154621" w14:textId="77777777" w:rsidR="0015130B" w:rsidRPr="0015130B" w:rsidRDefault="0015130B" w:rsidP="003B720D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3B720D">
        <w:rPr>
          <w:rFonts w:asciiTheme="majorHAnsi" w:hAnsiTheme="majorHAnsi" w:cstheme="majorHAnsi"/>
          <w:sz w:val="24"/>
          <w:szCs w:val="24"/>
        </w:rPr>
        <w:t>usar os conceitos económicos para compreender aspetos relevantes da</w:t>
      </w:r>
      <w:r w:rsidRPr="0015130B">
        <w:rPr>
          <w:rFonts w:asciiTheme="majorHAnsi" w:hAnsiTheme="majorHAnsi" w:cstheme="majorHAnsi"/>
          <w:sz w:val="24"/>
          <w:szCs w:val="24"/>
        </w:rPr>
        <w:t xml:space="preserve"> organização económica das sociedades;</w:t>
      </w:r>
    </w:p>
    <w:p w14:paraId="1B302347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>utilizar corretamente a terminologia económica;</w:t>
      </w:r>
    </w:p>
    <w:p w14:paraId="20C6129E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>aplicar conceitos económicos em novos contextos;</w:t>
      </w:r>
    </w:p>
    <w:p w14:paraId="69C4F73C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 xml:space="preserve">utilizar instrumentos económicos para interpretar a realidade económica portuguesa, da União Europeia e mundial; </w:t>
      </w:r>
    </w:p>
    <w:p w14:paraId="444DAFB5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utilizar técnicas de representação da realidade como </w:t>
      </w:r>
      <w:proofErr w:type="spellStart"/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>esquemas-síntese</w:t>
      </w:r>
      <w:proofErr w:type="spellEnd"/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, quadros de dados e gráficos; </w:t>
      </w:r>
    </w:p>
    <w:p w14:paraId="735A96B5" w14:textId="77777777" w:rsidR="0015130B" w:rsidRPr="0015130B" w:rsidRDefault="0015130B" w:rsidP="0015130B">
      <w:pPr>
        <w:pStyle w:val="PargrafodaLista"/>
        <w:numPr>
          <w:ilvl w:val="0"/>
          <w:numId w:val="10"/>
        </w:numPr>
        <w:spacing w:line="276" w:lineRule="auto"/>
        <w:ind w:left="714" w:right="-7" w:hanging="357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15130B">
        <w:rPr>
          <w:rFonts w:asciiTheme="majorHAnsi" w:eastAsia="Times New Roman" w:hAnsiTheme="majorHAnsi" w:cstheme="majorHAnsi"/>
          <w:sz w:val="24"/>
          <w:szCs w:val="24"/>
          <w:lang w:eastAsia="pt-PT"/>
        </w:rPr>
        <w:t xml:space="preserve">interpretar quadros e gráficos; </w:t>
      </w:r>
    </w:p>
    <w:p w14:paraId="7554836E" w14:textId="77777777" w:rsidR="0015130B" w:rsidRPr="0015130B" w:rsidRDefault="0015130B" w:rsidP="0015130B">
      <w:pPr>
        <w:pStyle w:val="PargrafodaLista"/>
        <w:spacing w:after="0" w:line="240" w:lineRule="auto"/>
        <w:ind w:right="-6"/>
        <w:jc w:val="both"/>
        <w:rPr>
          <w:rFonts w:asciiTheme="majorHAnsi" w:hAnsiTheme="majorHAnsi" w:cstheme="majorHAnsi"/>
          <w:sz w:val="24"/>
          <w:szCs w:val="24"/>
        </w:rPr>
      </w:pPr>
    </w:p>
    <w:p w14:paraId="4642FF88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sz w:val="24"/>
          <w:szCs w:val="24"/>
        </w:rPr>
      </w:pPr>
      <w:r w:rsidRPr="0015130B">
        <w:rPr>
          <w:rFonts w:asciiTheme="majorHAnsi" w:hAnsiTheme="majorHAnsi" w:cstheme="majorHAnsi"/>
          <w:sz w:val="24"/>
          <w:szCs w:val="24"/>
        </w:rPr>
        <w:t>Do programa de Economia constam 8 módulos, sobre os quais incidirão a prova, que a seguir se enunciam:</w:t>
      </w:r>
    </w:p>
    <w:p w14:paraId="1351E5E4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 Economia e o Problema Económico</w:t>
      </w:r>
    </w:p>
    <w:p w14:paraId="47ED1B5E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Agentes Económicos e Atividades Económicas</w:t>
      </w:r>
    </w:p>
    <w:p w14:paraId="6E3FC02F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Mercados de Bens e Serviços e de Fatores Produtivos</w:t>
      </w:r>
    </w:p>
    <w:p w14:paraId="1EBCBF84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Moeda e Financiamento da Atividade Económica</w:t>
      </w:r>
    </w:p>
    <w:p w14:paraId="4A0BE8EB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O Estado e a Atividade Económica</w:t>
      </w:r>
    </w:p>
    <w:p w14:paraId="45F36187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 Interdependência das Economias Atuais</w:t>
      </w:r>
    </w:p>
    <w:p w14:paraId="24F14FF0" w14:textId="77777777" w:rsidR="0015130B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Crescimento, Desenvolvimento e Flutuações da Atividade Económica</w:t>
      </w:r>
    </w:p>
    <w:p w14:paraId="58946022" w14:textId="77777777" w:rsidR="004B582F" w:rsidRPr="0015130B" w:rsidRDefault="0015130B" w:rsidP="0015130B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ind w:left="709" w:right="-7" w:hanging="284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</w:rPr>
        <w:t>A Economia Portuguesa na Atualidade</w:t>
      </w:r>
    </w:p>
    <w:p w14:paraId="4F38F029" w14:textId="77777777" w:rsidR="004B582F" w:rsidRDefault="004B582F" w:rsidP="0015130B">
      <w:pPr>
        <w:ind w:right="-7"/>
        <w:jc w:val="both"/>
        <w:rPr>
          <w:rFonts w:asciiTheme="majorHAnsi" w:hAnsiTheme="majorHAnsi" w:cstheme="majorHAnsi"/>
          <w:b/>
          <w:bCs/>
        </w:rPr>
      </w:pPr>
    </w:p>
    <w:p w14:paraId="56623FBE" w14:textId="77777777" w:rsidR="00CB69E4" w:rsidRPr="00CB69E4" w:rsidRDefault="00CB69E4" w:rsidP="0015130B">
      <w:pPr>
        <w:ind w:right="-7"/>
        <w:jc w:val="both"/>
        <w:rPr>
          <w:rFonts w:asciiTheme="majorHAnsi" w:hAnsiTheme="majorHAnsi" w:cstheme="majorHAnsi"/>
          <w:b/>
          <w:bCs/>
        </w:rPr>
      </w:pPr>
      <w:r w:rsidRPr="00CB69E4">
        <w:rPr>
          <w:rFonts w:asciiTheme="majorHAnsi" w:hAnsiTheme="majorHAnsi" w:cstheme="majorHAnsi"/>
          <w:b/>
          <w:bCs/>
        </w:rPr>
        <w:t>CARACTERIZAÇÃO DA PROVA</w:t>
      </w:r>
    </w:p>
    <w:p w14:paraId="1234369D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A prova inclui itens de seleção (por exemplo, escolha múltipla).</w:t>
      </w:r>
    </w:p>
    <w:p w14:paraId="781FEFA9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 xml:space="preserve">Os itens podem ter como suporte um ou mais documentos, como textos, tabelas de dados, gráficos, mapas, esquemas e figuras, baseando-se, de um modo geral, em situações extraídas da realidade. </w:t>
      </w:r>
    </w:p>
    <w:p w14:paraId="7C3A234C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As respostas aos itens podem requerer a mobilização articulada de aprendizagens relativas a mais do que um dos módulos dos documentos curriculares.</w:t>
      </w:r>
    </w:p>
    <w:p w14:paraId="5D691305" w14:textId="77777777" w:rsidR="00CB69E4" w:rsidRPr="0015130B" w:rsidRDefault="0015130B" w:rsidP="0015130B">
      <w:pPr>
        <w:ind w:right="-7"/>
        <w:jc w:val="both"/>
        <w:rPr>
          <w:rFonts w:asciiTheme="majorHAnsi" w:hAnsiTheme="majorHAnsi" w:cstheme="majorHAnsi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A prova é cotada para 100 pontos.</w:t>
      </w:r>
    </w:p>
    <w:p w14:paraId="230B7CC3" w14:textId="77777777" w:rsidR="004B582F" w:rsidRPr="00CB69E4" w:rsidRDefault="004B582F" w:rsidP="0015130B">
      <w:pPr>
        <w:ind w:right="-7"/>
        <w:jc w:val="both"/>
        <w:rPr>
          <w:rFonts w:asciiTheme="majorHAnsi" w:hAnsiTheme="majorHAnsi" w:cstheme="majorHAnsi"/>
        </w:rPr>
      </w:pPr>
    </w:p>
    <w:p w14:paraId="0ABE056E" w14:textId="77777777" w:rsidR="0015130B" w:rsidRPr="0015130B" w:rsidRDefault="00CB69E4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CB69E4">
        <w:rPr>
          <w:rFonts w:asciiTheme="majorHAnsi" w:hAnsiTheme="majorHAnsi" w:cstheme="majorHAnsi"/>
          <w:b/>
          <w:bCs/>
        </w:rPr>
        <w:t>MATERIAL</w:t>
      </w:r>
      <w:r w:rsidRPr="00CB69E4">
        <w:rPr>
          <w:rFonts w:asciiTheme="majorHAnsi" w:hAnsiTheme="majorHAnsi" w:cstheme="majorHAnsi"/>
        </w:rPr>
        <w:br/>
      </w:r>
      <w:r w:rsidR="0015130B" w:rsidRPr="0015130B">
        <w:rPr>
          <w:rFonts w:asciiTheme="majorHAnsi" w:hAnsiTheme="majorHAnsi" w:cstheme="majorHAnsi"/>
          <w:color w:val="242021"/>
          <w:sz w:val="24"/>
          <w:szCs w:val="24"/>
        </w:rPr>
        <w:t>As respostas são registadas em folha própria, fornecida pelo estabelecimento de ensino (modelo oficial).</w:t>
      </w:r>
    </w:p>
    <w:p w14:paraId="36E31677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Como material de escrita, apenas pode ser usada caneta ou esferográfica de tinta azul ou preta.</w:t>
      </w:r>
    </w:p>
    <w:p w14:paraId="40E1B456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O examinando deve ser portador de calculadora não alfanumérica, não programável.</w:t>
      </w:r>
    </w:p>
    <w:p w14:paraId="2DD030AB" w14:textId="77777777" w:rsidR="0015130B" w:rsidRPr="0015130B" w:rsidRDefault="0015130B" w:rsidP="0015130B">
      <w:pPr>
        <w:spacing w:line="276" w:lineRule="auto"/>
        <w:ind w:right="-7"/>
        <w:jc w:val="both"/>
        <w:rPr>
          <w:rFonts w:asciiTheme="majorHAnsi" w:hAnsiTheme="majorHAnsi" w:cstheme="majorHAnsi"/>
          <w:color w:val="242021"/>
          <w:sz w:val="24"/>
          <w:szCs w:val="24"/>
        </w:rPr>
      </w:pPr>
      <w:r w:rsidRPr="0015130B">
        <w:rPr>
          <w:rFonts w:asciiTheme="majorHAnsi" w:hAnsiTheme="majorHAnsi" w:cstheme="majorHAnsi"/>
          <w:color w:val="242021"/>
          <w:sz w:val="24"/>
          <w:szCs w:val="24"/>
        </w:rPr>
        <w:t>Não é permitido o uso de corretor.</w:t>
      </w:r>
    </w:p>
    <w:p w14:paraId="26E7D967" w14:textId="77777777" w:rsidR="00CB69E4" w:rsidRPr="00CB69E4" w:rsidRDefault="00CB69E4" w:rsidP="0015130B">
      <w:pPr>
        <w:ind w:right="-7"/>
        <w:jc w:val="both"/>
        <w:rPr>
          <w:rFonts w:asciiTheme="majorHAnsi" w:hAnsiTheme="majorHAnsi" w:cstheme="majorHAnsi"/>
        </w:rPr>
      </w:pPr>
    </w:p>
    <w:p w14:paraId="278C109F" w14:textId="77777777" w:rsidR="004B582F" w:rsidRDefault="004B582F" w:rsidP="0015130B">
      <w:pPr>
        <w:ind w:right="-7"/>
        <w:rPr>
          <w:rFonts w:asciiTheme="majorHAnsi" w:hAnsiTheme="majorHAnsi" w:cstheme="majorHAnsi"/>
        </w:rPr>
      </w:pPr>
    </w:p>
    <w:p w14:paraId="43667330" w14:textId="31720E40" w:rsidR="0015130B" w:rsidRPr="00592372" w:rsidRDefault="00CB69E4" w:rsidP="00592372">
      <w:pPr>
        <w:spacing w:after="0" w:line="276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  <w:r w:rsidRPr="00CB69E4">
        <w:rPr>
          <w:rFonts w:asciiTheme="majorHAnsi" w:hAnsiTheme="majorHAnsi" w:cstheme="majorHAnsi"/>
          <w:b/>
          <w:bCs/>
        </w:rPr>
        <w:t>DURAÇÃO</w:t>
      </w:r>
      <w:r w:rsidRPr="00CB69E4">
        <w:rPr>
          <w:rFonts w:asciiTheme="majorHAnsi" w:hAnsiTheme="majorHAnsi" w:cstheme="majorHAnsi"/>
        </w:rPr>
        <w:br/>
      </w:r>
      <w:r w:rsidR="00592372" w:rsidRPr="00592372">
        <w:rPr>
          <w:rFonts w:asciiTheme="majorHAnsi" w:eastAsia="Times New Roman" w:hAnsiTheme="majorHAnsi" w:cstheme="majorHAnsi"/>
          <w:color w:val="000000"/>
          <w:sz w:val="24"/>
          <w:szCs w:val="24"/>
          <w:lang w:eastAsia="pt-PT"/>
        </w:rPr>
        <w:t>A duração total da Prova, que engloba a componente da área geral e a componente da área específica, é de 120 minutos, a que acresce 30 minutos de tolerância. Cada componente foi construída para ser resolvida em 60 minutos, ficando, contudo, a gestão do tempo de resolução ao critério do candidato.</w:t>
      </w:r>
    </w:p>
    <w:p w14:paraId="4C5DC098" w14:textId="77777777" w:rsidR="00CB69E4" w:rsidRDefault="00CB69E4" w:rsidP="00CB69E4">
      <w:pPr>
        <w:jc w:val="both"/>
        <w:rPr>
          <w:rFonts w:asciiTheme="majorHAnsi" w:hAnsiTheme="majorHAnsi" w:cstheme="majorHAnsi"/>
        </w:rPr>
      </w:pPr>
    </w:p>
    <w:p w14:paraId="43B25DFC" w14:textId="77777777" w:rsidR="004B582F" w:rsidRPr="00CB69E4" w:rsidRDefault="004B582F" w:rsidP="00CB69E4">
      <w:pPr>
        <w:jc w:val="both"/>
        <w:rPr>
          <w:rFonts w:asciiTheme="majorHAnsi" w:hAnsiTheme="majorHAnsi" w:cstheme="majorHAnsi"/>
        </w:rPr>
      </w:pPr>
    </w:p>
    <w:p w14:paraId="2CCC736D" w14:textId="77777777" w:rsidR="00CB69E4" w:rsidRPr="00CB69E4" w:rsidRDefault="00CB69E4" w:rsidP="00CB69E4">
      <w:pPr>
        <w:tabs>
          <w:tab w:val="left" w:pos="945"/>
        </w:tabs>
      </w:pPr>
    </w:p>
    <w:sectPr w:rsidR="00CB69E4" w:rsidRPr="00CB69E4" w:rsidSect="00A526C4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BB3D3" w14:textId="77777777" w:rsidR="008E7A0B" w:rsidRDefault="008E7A0B" w:rsidP="00CB69E4">
      <w:pPr>
        <w:spacing w:after="0" w:line="240" w:lineRule="auto"/>
      </w:pPr>
      <w:r>
        <w:separator/>
      </w:r>
    </w:p>
  </w:endnote>
  <w:endnote w:type="continuationSeparator" w:id="0">
    <w:p w14:paraId="15E56259" w14:textId="77777777" w:rsidR="008E7A0B" w:rsidRDefault="008E7A0B" w:rsidP="00C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Arial-BoldMT">
    <w:altName w:val="Arial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8955F" w14:textId="77777777" w:rsidR="008E7A0B" w:rsidRDefault="008E7A0B" w:rsidP="00CB69E4">
      <w:pPr>
        <w:spacing w:after="0" w:line="240" w:lineRule="auto"/>
      </w:pPr>
      <w:r>
        <w:separator/>
      </w:r>
    </w:p>
  </w:footnote>
  <w:footnote w:type="continuationSeparator" w:id="0">
    <w:p w14:paraId="37A73CF4" w14:textId="77777777" w:rsidR="008E7A0B" w:rsidRDefault="008E7A0B" w:rsidP="00CB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5F9E1" w14:textId="77777777" w:rsidR="00CB69E4" w:rsidRPr="004B582F" w:rsidRDefault="00CB69E4" w:rsidP="004B582F">
    <w:pPr>
      <w:pStyle w:val="Cabealho"/>
      <w:tabs>
        <w:tab w:val="clear" w:pos="4252"/>
        <w:tab w:val="clear" w:pos="8504"/>
        <w:tab w:val="left" w:pos="660"/>
      </w:tabs>
      <w:jc w:val="right"/>
      <w:rPr>
        <w:b/>
        <w:bCs/>
      </w:rPr>
    </w:pPr>
    <w:r w:rsidRPr="00CB69E4">
      <w:rPr>
        <w:noProof/>
      </w:rPr>
      <w:drawing>
        <wp:anchor distT="0" distB="0" distL="114300" distR="114300" simplePos="0" relativeHeight="251658240" behindDoc="1" locked="0" layoutInCell="1" allowOverlap="1" wp14:anchorId="0093A652" wp14:editId="3B6035FC">
          <wp:simplePos x="0" y="0"/>
          <wp:positionH relativeFrom="column">
            <wp:posOffset>-241935</wp:posOffset>
          </wp:positionH>
          <wp:positionV relativeFrom="paragraph">
            <wp:posOffset>-257175</wp:posOffset>
          </wp:positionV>
          <wp:extent cx="4762500" cy="713740"/>
          <wp:effectExtent l="0" t="0" r="0" b="0"/>
          <wp:wrapTight wrapText="bothSides">
            <wp:wrapPolygon edited="0">
              <wp:start x="19296" y="2306"/>
              <wp:lineTo x="346" y="4996"/>
              <wp:lineTo x="403" y="15758"/>
              <wp:lineTo x="18259" y="16911"/>
              <wp:lineTo x="20794" y="16911"/>
              <wp:lineTo x="20736" y="13452"/>
              <wp:lineTo x="20390" y="6918"/>
              <wp:lineTo x="20160" y="4228"/>
              <wp:lineTo x="19814" y="2306"/>
              <wp:lineTo x="19296" y="2306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82F">
      <w:tab/>
      <w:t xml:space="preserve"> </w:t>
    </w:r>
    <w:r w:rsidR="004B582F" w:rsidRPr="004B582F">
      <w:rPr>
        <w:b/>
        <w:bCs/>
      </w:rPr>
      <w:t>REDE NORTE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87984"/>
    <w:multiLevelType w:val="hybridMultilevel"/>
    <w:tmpl w:val="3D540A5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B4"/>
    <w:multiLevelType w:val="hybridMultilevel"/>
    <w:tmpl w:val="6AA6E6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E732C"/>
    <w:multiLevelType w:val="hybridMultilevel"/>
    <w:tmpl w:val="7A220BA2"/>
    <w:lvl w:ilvl="0" w:tplc="154C6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4FEC"/>
    <w:multiLevelType w:val="hybridMultilevel"/>
    <w:tmpl w:val="B0B826A6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652A89"/>
    <w:multiLevelType w:val="hybridMultilevel"/>
    <w:tmpl w:val="2646C77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C839A3"/>
    <w:multiLevelType w:val="hybridMultilevel"/>
    <w:tmpl w:val="B462B2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078B9"/>
    <w:multiLevelType w:val="hybridMultilevel"/>
    <w:tmpl w:val="218C5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15DEE"/>
    <w:multiLevelType w:val="hybridMultilevel"/>
    <w:tmpl w:val="7D7EE3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536C0"/>
    <w:multiLevelType w:val="hybridMultilevel"/>
    <w:tmpl w:val="5C32562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44F8C"/>
    <w:multiLevelType w:val="hybridMultilevel"/>
    <w:tmpl w:val="6546BE20"/>
    <w:lvl w:ilvl="0" w:tplc="79483F9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633BD"/>
    <w:multiLevelType w:val="hybridMultilevel"/>
    <w:tmpl w:val="3D483D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59250">
    <w:abstractNumId w:val="1"/>
  </w:num>
  <w:num w:numId="2" w16cid:durableId="197546360">
    <w:abstractNumId w:val="10"/>
  </w:num>
  <w:num w:numId="3" w16cid:durableId="202980181">
    <w:abstractNumId w:val="6"/>
  </w:num>
  <w:num w:numId="4" w16cid:durableId="1383098246">
    <w:abstractNumId w:val="8"/>
  </w:num>
  <w:num w:numId="5" w16cid:durableId="974608119">
    <w:abstractNumId w:val="5"/>
  </w:num>
  <w:num w:numId="6" w16cid:durableId="1789544802">
    <w:abstractNumId w:val="3"/>
  </w:num>
  <w:num w:numId="7" w16cid:durableId="552930631">
    <w:abstractNumId w:val="7"/>
  </w:num>
  <w:num w:numId="8" w16cid:durableId="1907641512">
    <w:abstractNumId w:val="4"/>
  </w:num>
  <w:num w:numId="9" w16cid:durableId="156849958">
    <w:abstractNumId w:val="0"/>
  </w:num>
  <w:num w:numId="10" w16cid:durableId="1459058857">
    <w:abstractNumId w:val="2"/>
  </w:num>
  <w:num w:numId="11" w16cid:durableId="8805567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E4"/>
    <w:rsid w:val="00110004"/>
    <w:rsid w:val="0015130B"/>
    <w:rsid w:val="001D2BA9"/>
    <w:rsid w:val="001D66F1"/>
    <w:rsid w:val="002552E4"/>
    <w:rsid w:val="002F7C96"/>
    <w:rsid w:val="003935D9"/>
    <w:rsid w:val="003A0243"/>
    <w:rsid w:val="003A5B9E"/>
    <w:rsid w:val="003B1009"/>
    <w:rsid w:val="003B720D"/>
    <w:rsid w:val="003E28FE"/>
    <w:rsid w:val="003F077C"/>
    <w:rsid w:val="004A44FE"/>
    <w:rsid w:val="004B582F"/>
    <w:rsid w:val="004F11FA"/>
    <w:rsid w:val="00561254"/>
    <w:rsid w:val="00592372"/>
    <w:rsid w:val="0062058C"/>
    <w:rsid w:val="00693AE1"/>
    <w:rsid w:val="0070031C"/>
    <w:rsid w:val="00701A93"/>
    <w:rsid w:val="00731BDC"/>
    <w:rsid w:val="008A3817"/>
    <w:rsid w:val="008D23B4"/>
    <w:rsid w:val="008E7A0B"/>
    <w:rsid w:val="009B3F87"/>
    <w:rsid w:val="00A23C4E"/>
    <w:rsid w:val="00A526C4"/>
    <w:rsid w:val="00A577B9"/>
    <w:rsid w:val="00B42CBE"/>
    <w:rsid w:val="00B87BAB"/>
    <w:rsid w:val="00BA548E"/>
    <w:rsid w:val="00BE003F"/>
    <w:rsid w:val="00CA6464"/>
    <w:rsid w:val="00CB69E4"/>
    <w:rsid w:val="00D43AE0"/>
    <w:rsid w:val="00EA58EE"/>
    <w:rsid w:val="00F1319F"/>
    <w:rsid w:val="00FF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0C2B40"/>
  <w15:chartTrackingRefBased/>
  <w15:docId w15:val="{81C5D24C-F4C6-F046-BEF4-491A778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B69E4"/>
  </w:style>
  <w:style w:type="paragraph" w:styleId="Rodap">
    <w:name w:val="footer"/>
    <w:basedOn w:val="Normal"/>
    <w:link w:val="RodapCarte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B69E4"/>
  </w:style>
  <w:style w:type="character" w:customStyle="1" w:styleId="fontstyle01">
    <w:name w:val="fontstyle01"/>
    <w:basedOn w:val="Tipodeletrapredefinidodopargrafo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Tipodeletrapredefinidodopargrafo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CB69E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E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5130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5130B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5130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5130B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5130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nqep.gov.pt/np4/47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Duarte dos Santos</dc:creator>
  <cp:keywords/>
  <dc:description/>
  <cp:lastModifiedBy>Reviewer</cp:lastModifiedBy>
  <cp:revision>2</cp:revision>
  <dcterms:created xsi:type="dcterms:W3CDTF">2024-04-22T10:31:00Z</dcterms:created>
  <dcterms:modified xsi:type="dcterms:W3CDTF">2024-04-22T10:31:00Z</dcterms:modified>
</cp:coreProperties>
</file>