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65A3C" w14:textId="6ED59AF5" w:rsidR="00CB69E4" w:rsidRPr="004B582F" w:rsidRDefault="00CB69E4" w:rsidP="00CB69E4">
      <w:pPr>
        <w:pBdr>
          <w:bottom w:val="single" w:sz="6" w:space="0" w:color="auto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GoBack"/>
      <w:bookmarkEnd w:id="0"/>
      <w:r w:rsidRPr="00CB69E4">
        <w:rPr>
          <w:rFonts w:asciiTheme="majorHAnsi" w:hAnsiTheme="majorHAnsi" w:cstheme="majorHAnsi"/>
          <w:b/>
          <w:bCs/>
          <w:sz w:val="28"/>
          <w:szCs w:val="28"/>
        </w:rPr>
        <w:t>MATRIZ - 202</w:t>
      </w:r>
      <w:r w:rsidR="000D3BCD">
        <w:rPr>
          <w:rFonts w:asciiTheme="majorHAnsi" w:hAnsiTheme="majorHAnsi" w:cstheme="majorHAnsi"/>
          <w:b/>
          <w:bCs/>
          <w:sz w:val="28"/>
          <w:szCs w:val="28"/>
        </w:rPr>
        <w:t>1</w:t>
      </w:r>
      <w:r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Pr="004B582F">
        <w:rPr>
          <w:rFonts w:asciiTheme="majorHAnsi" w:hAnsiTheme="majorHAnsi" w:cstheme="majorHAnsi"/>
          <w:b/>
          <w:bCs/>
          <w:sz w:val="28"/>
          <w:szCs w:val="28"/>
        </w:rPr>
        <w:t>HISTÓRIA DA CULTURA E DAS ARTES</w:t>
      </w:r>
    </w:p>
    <w:p w14:paraId="56C0A2BC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372FF890" w14:textId="77777777" w:rsidR="004B582F" w:rsidRP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  <w:r w:rsidRPr="004B582F">
        <w:rPr>
          <w:rFonts w:asciiTheme="majorHAnsi" w:hAnsiTheme="majorHAnsi" w:cstheme="majorHAnsi"/>
          <w:b/>
          <w:bCs/>
        </w:rPr>
        <w:t>PROVA DE AVALIAÇÃO DE CONHECIMENTOS</w:t>
      </w:r>
    </w:p>
    <w:p w14:paraId="465F863A" w14:textId="1F3E834A" w:rsidR="00B31540" w:rsidRPr="00185B39" w:rsidRDefault="00B31540" w:rsidP="00B31540">
      <w:pPr>
        <w:pStyle w:val="NormalWeb"/>
        <w:jc w:val="both"/>
        <w:rPr>
          <w:rFonts w:asciiTheme="majorHAnsi" w:hAnsiTheme="majorHAnsi" w:cstheme="majorHAnsi"/>
          <w:sz w:val="22"/>
          <w:szCs w:val="22"/>
        </w:rPr>
      </w:pPr>
      <w:r w:rsidRPr="00185B39">
        <w:rPr>
          <w:rFonts w:asciiTheme="majorHAnsi" w:hAnsiTheme="majorHAnsi" w:cstheme="majorHAnsi"/>
          <w:sz w:val="22"/>
          <w:szCs w:val="22"/>
        </w:rPr>
        <w:t xml:space="preserve">O presente documento divulga informação relativa à prova de avaliação do Concurso Especial de ingresso dos alunos de dupla </w:t>
      </w:r>
      <w:r w:rsidR="000349C9" w:rsidRPr="00185B39">
        <w:rPr>
          <w:rFonts w:asciiTheme="majorHAnsi" w:hAnsiTheme="majorHAnsi" w:cstheme="majorHAnsi"/>
          <w:sz w:val="22"/>
          <w:szCs w:val="22"/>
        </w:rPr>
        <w:t>certificação</w:t>
      </w:r>
      <w:r w:rsidRPr="00185B39">
        <w:rPr>
          <w:rFonts w:asciiTheme="majorHAnsi" w:hAnsiTheme="majorHAnsi" w:cstheme="majorHAnsi"/>
          <w:sz w:val="22"/>
          <w:szCs w:val="22"/>
        </w:rPr>
        <w:t xml:space="preserve"> de nível secundário e cursos artísticos especializados em licenciaturas da região norte da disciplina de História da Cultura e das Artes, a realizar em 202</w:t>
      </w:r>
      <w:r w:rsidR="00682A2D" w:rsidRPr="00185B39">
        <w:rPr>
          <w:rFonts w:asciiTheme="majorHAnsi" w:hAnsiTheme="majorHAnsi" w:cstheme="majorHAnsi"/>
          <w:sz w:val="22"/>
          <w:szCs w:val="22"/>
        </w:rPr>
        <w:t>1</w:t>
      </w:r>
      <w:r w:rsidRPr="00185B39">
        <w:rPr>
          <w:rFonts w:asciiTheme="majorHAnsi" w:hAnsiTheme="majorHAnsi" w:cstheme="majorHAnsi"/>
          <w:sz w:val="22"/>
          <w:szCs w:val="22"/>
        </w:rPr>
        <w:t>, nomeadamente no que se refere:</w:t>
      </w:r>
    </w:p>
    <w:p w14:paraId="59AD37B6" w14:textId="77777777" w:rsidR="00CB69E4" w:rsidRPr="00185B39" w:rsidRDefault="00CB69E4" w:rsidP="00CB69E4">
      <w:pPr>
        <w:rPr>
          <w:rFonts w:asciiTheme="majorHAnsi" w:hAnsiTheme="majorHAnsi" w:cstheme="majorHAnsi"/>
        </w:rPr>
      </w:pPr>
      <w:r w:rsidRPr="00185B39">
        <w:rPr>
          <w:rFonts w:asciiTheme="majorHAnsi" w:hAnsiTheme="majorHAnsi" w:cstheme="majorHAnsi"/>
        </w:rPr>
        <w:t>• Objeto de avaliação</w:t>
      </w:r>
      <w:r w:rsidRPr="00185B39">
        <w:rPr>
          <w:rFonts w:asciiTheme="majorHAnsi" w:hAnsiTheme="majorHAnsi" w:cstheme="majorHAnsi"/>
        </w:rPr>
        <w:br/>
        <w:t>• Caracterização da prova</w:t>
      </w:r>
      <w:r w:rsidRPr="00185B39">
        <w:rPr>
          <w:rFonts w:asciiTheme="majorHAnsi" w:hAnsiTheme="majorHAnsi" w:cstheme="majorHAnsi"/>
        </w:rPr>
        <w:br/>
        <w:t>• Material</w:t>
      </w:r>
      <w:r w:rsidRPr="00185B39">
        <w:rPr>
          <w:rFonts w:asciiTheme="majorHAnsi" w:hAnsiTheme="majorHAnsi" w:cstheme="majorHAnsi"/>
        </w:rPr>
        <w:br/>
        <w:t>• Duração</w:t>
      </w:r>
    </w:p>
    <w:p w14:paraId="653F1662" w14:textId="77777777" w:rsid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</w:rPr>
        <w:br/>
      </w:r>
      <w:r w:rsidRPr="00CB69E4">
        <w:rPr>
          <w:rFonts w:asciiTheme="majorHAnsi" w:hAnsiTheme="majorHAnsi" w:cstheme="majorHAnsi"/>
          <w:b/>
          <w:bCs/>
        </w:rPr>
        <w:t>OBJETO DE AVALIAÇÃO</w:t>
      </w:r>
    </w:p>
    <w:p w14:paraId="404AA291" w14:textId="77777777" w:rsidR="00E70F12" w:rsidRPr="00E70F12" w:rsidRDefault="00E70F12" w:rsidP="00E70F12">
      <w:pPr>
        <w:spacing w:line="240" w:lineRule="auto"/>
        <w:contextualSpacing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 xml:space="preserve">A prova tem por referência os documentos curriculares em vigor para os 10.º ,11.º e 12º anos dos cursos de dupla </w:t>
      </w:r>
      <w:r w:rsidR="000349C9">
        <w:rPr>
          <w:rFonts w:asciiTheme="majorHAnsi" w:hAnsiTheme="majorHAnsi" w:cstheme="majorHAnsi"/>
          <w:bCs/>
        </w:rPr>
        <w:t>certificação</w:t>
      </w:r>
      <w:r w:rsidRPr="00E70F12">
        <w:rPr>
          <w:rFonts w:asciiTheme="majorHAnsi" w:hAnsiTheme="majorHAnsi" w:cstheme="majorHAnsi"/>
          <w:bCs/>
        </w:rPr>
        <w:t xml:space="preserve"> de nível secundário e cursos artísticos especializados (Programa de História da Cultura e das Artes) e permite avaliar a aprendizagem passível de avaliação numa prova escrita de duração limitada, incidindo nomeadamente sobre as competências que se apresentam a seguir:</w:t>
      </w:r>
    </w:p>
    <w:p w14:paraId="0A4B5CE9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Pesquisar, selecionar e organizar informação diversificada de uma forma autónoma, responsável e criativa;</w:t>
      </w:r>
    </w:p>
    <w:p w14:paraId="08380E05" w14:textId="58901758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Compreender o objeto artístico como documento/</w:t>
      </w:r>
      <w:r w:rsidR="004E27D2">
        <w:rPr>
          <w:rFonts w:asciiTheme="majorHAnsi" w:hAnsiTheme="majorHAnsi" w:cstheme="majorHAnsi"/>
          <w:bCs/>
        </w:rPr>
        <w:t xml:space="preserve"> </w:t>
      </w:r>
      <w:r w:rsidRPr="00E70F12">
        <w:rPr>
          <w:rFonts w:asciiTheme="majorHAnsi" w:hAnsiTheme="majorHAnsi" w:cstheme="majorHAnsi"/>
          <w:bCs/>
        </w:rPr>
        <w:t>testemunho do seu tempo histórico;</w:t>
      </w:r>
    </w:p>
    <w:p w14:paraId="697E9235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Evidenciar uma atitude crítica enquanto recetor de objetos de cultura;</w:t>
      </w:r>
    </w:p>
    <w:p w14:paraId="37BBE487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Mobilizar os conhecimentos adquiridos na disciplina para criticar a realidade contemporânea;</w:t>
      </w:r>
    </w:p>
    <w:p w14:paraId="3E3AF0C0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Enquadrar as categorias de cada área artística na análise conjuntural do tempo e do espaço (histórico e cultural) para desenvolver referenciais profissionais específicos da sua área;</w:t>
      </w:r>
    </w:p>
    <w:p w14:paraId="7632CA31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Mobilizar os conhecimentos adquiridos de modo a preservar e valorizar o património artístico e cultural;</w:t>
      </w:r>
    </w:p>
    <w:p w14:paraId="1583AED7" w14:textId="77777777" w:rsidR="00E70F12" w:rsidRPr="00E70F12" w:rsidRDefault="00E70F12" w:rsidP="00E70F12">
      <w:pPr>
        <w:pStyle w:val="PargrafodaLista"/>
        <w:numPr>
          <w:ilvl w:val="0"/>
          <w:numId w:val="10"/>
        </w:numPr>
        <w:spacing w:line="240" w:lineRule="auto"/>
        <w:ind w:left="142" w:hanging="142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Interiorizar a defesa do património como ato de cidadania.</w:t>
      </w:r>
    </w:p>
    <w:p w14:paraId="77D73D74" w14:textId="77777777" w:rsidR="00E70F12" w:rsidRPr="00E70F12" w:rsidRDefault="00E70F12" w:rsidP="00E70F12">
      <w:pPr>
        <w:spacing w:line="240" w:lineRule="auto"/>
        <w:contextualSpacing/>
        <w:jc w:val="both"/>
        <w:rPr>
          <w:rFonts w:asciiTheme="majorHAnsi" w:hAnsiTheme="majorHAnsi" w:cstheme="majorHAnsi"/>
          <w:bCs/>
        </w:rPr>
      </w:pPr>
    </w:p>
    <w:p w14:paraId="175D72B2" w14:textId="77777777" w:rsidR="00E70F12" w:rsidRPr="00E70F12" w:rsidRDefault="00E70F12" w:rsidP="00E70F12">
      <w:pPr>
        <w:spacing w:line="240" w:lineRule="auto"/>
        <w:contextualSpacing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Do programa de História da Cultura e das Artes (num total de 10 módulos), selecionam-se, para objeto de avaliação, os mó</w:t>
      </w:r>
      <w:r>
        <w:rPr>
          <w:rFonts w:asciiTheme="majorHAnsi" w:hAnsiTheme="majorHAnsi" w:cstheme="majorHAnsi"/>
          <w:bCs/>
        </w:rPr>
        <w:t>dulos que a seguir se enunciam:</w:t>
      </w:r>
    </w:p>
    <w:p w14:paraId="7705CB56" w14:textId="1AC12E79" w:rsidR="00E70F12" w:rsidRPr="00E70F12" w:rsidRDefault="00E70F12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 xml:space="preserve">Módulo </w:t>
      </w:r>
      <w:r w:rsidR="00530F7C">
        <w:rPr>
          <w:rFonts w:asciiTheme="majorHAnsi" w:hAnsiTheme="majorHAnsi" w:cstheme="majorHAnsi"/>
          <w:bCs/>
        </w:rPr>
        <w:t>2</w:t>
      </w:r>
      <w:r w:rsidRPr="00E70F12">
        <w:rPr>
          <w:rFonts w:asciiTheme="majorHAnsi" w:hAnsiTheme="majorHAnsi" w:cstheme="majorHAnsi"/>
          <w:bCs/>
        </w:rPr>
        <w:t xml:space="preserve"> - A Cultura d</w:t>
      </w:r>
      <w:r w:rsidR="00562893">
        <w:rPr>
          <w:rFonts w:asciiTheme="majorHAnsi" w:hAnsiTheme="majorHAnsi" w:cstheme="majorHAnsi"/>
          <w:bCs/>
        </w:rPr>
        <w:t>o Senado</w:t>
      </w:r>
    </w:p>
    <w:p w14:paraId="345696AF" w14:textId="7CE4DC28" w:rsidR="00E70F12" w:rsidRPr="00E70F12" w:rsidRDefault="00E70F12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 xml:space="preserve">Módulo </w:t>
      </w:r>
      <w:r w:rsidR="00562893">
        <w:rPr>
          <w:rFonts w:asciiTheme="majorHAnsi" w:hAnsiTheme="majorHAnsi" w:cstheme="majorHAnsi"/>
          <w:bCs/>
        </w:rPr>
        <w:t>3</w:t>
      </w:r>
      <w:r w:rsidRPr="00E70F12">
        <w:rPr>
          <w:rFonts w:asciiTheme="majorHAnsi" w:hAnsiTheme="majorHAnsi" w:cstheme="majorHAnsi"/>
          <w:bCs/>
        </w:rPr>
        <w:t xml:space="preserve"> - A Cultura d</w:t>
      </w:r>
      <w:r w:rsidR="00562893">
        <w:rPr>
          <w:rFonts w:asciiTheme="majorHAnsi" w:hAnsiTheme="majorHAnsi" w:cstheme="majorHAnsi"/>
          <w:bCs/>
        </w:rPr>
        <w:t>o Mosteiro</w:t>
      </w:r>
    </w:p>
    <w:p w14:paraId="78DF7589" w14:textId="77777777" w:rsidR="00E70F12" w:rsidRPr="00E70F12" w:rsidRDefault="00E70F12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>Módulo 5 - A Cultura do Palácio</w:t>
      </w:r>
    </w:p>
    <w:p w14:paraId="2FAD114A" w14:textId="184A9200" w:rsidR="00E70F12" w:rsidRPr="00E70F12" w:rsidRDefault="00E70F12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 xml:space="preserve">Módulo </w:t>
      </w:r>
      <w:r w:rsidR="002C2B92">
        <w:rPr>
          <w:rFonts w:asciiTheme="majorHAnsi" w:hAnsiTheme="majorHAnsi" w:cstheme="majorHAnsi"/>
          <w:bCs/>
        </w:rPr>
        <w:t>7</w:t>
      </w:r>
      <w:r w:rsidRPr="00E70F12">
        <w:rPr>
          <w:rFonts w:asciiTheme="majorHAnsi" w:hAnsiTheme="majorHAnsi" w:cstheme="majorHAnsi"/>
          <w:bCs/>
        </w:rPr>
        <w:t xml:space="preserve"> - </w:t>
      </w:r>
      <w:r w:rsidR="002C2B92" w:rsidRPr="002C2B92">
        <w:rPr>
          <w:rFonts w:asciiTheme="majorHAnsi" w:hAnsiTheme="majorHAnsi" w:cstheme="majorHAnsi"/>
          <w:bCs/>
        </w:rPr>
        <w:t xml:space="preserve">A Cultura do Salão </w:t>
      </w:r>
    </w:p>
    <w:p w14:paraId="1D7D1BED" w14:textId="7E9DD2FD" w:rsidR="00E70F12" w:rsidRDefault="00E70F12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 w:rsidRPr="00E70F12">
        <w:rPr>
          <w:rFonts w:asciiTheme="majorHAnsi" w:hAnsiTheme="majorHAnsi" w:cstheme="majorHAnsi"/>
          <w:bCs/>
        </w:rPr>
        <w:t xml:space="preserve">Módulo </w:t>
      </w:r>
      <w:r w:rsidR="00643FC2">
        <w:rPr>
          <w:rFonts w:asciiTheme="majorHAnsi" w:hAnsiTheme="majorHAnsi" w:cstheme="majorHAnsi"/>
          <w:bCs/>
        </w:rPr>
        <w:t>8</w:t>
      </w:r>
      <w:r w:rsidRPr="00E70F12">
        <w:rPr>
          <w:rFonts w:asciiTheme="majorHAnsi" w:hAnsiTheme="majorHAnsi" w:cstheme="majorHAnsi"/>
          <w:bCs/>
        </w:rPr>
        <w:t xml:space="preserve"> </w:t>
      </w:r>
      <w:proofErr w:type="gramStart"/>
      <w:r w:rsidRPr="00E70F12">
        <w:rPr>
          <w:rFonts w:asciiTheme="majorHAnsi" w:hAnsiTheme="majorHAnsi" w:cstheme="majorHAnsi"/>
          <w:bCs/>
        </w:rPr>
        <w:t xml:space="preserve">- </w:t>
      </w:r>
      <w:r w:rsidR="009706FB">
        <w:rPr>
          <w:rFonts w:asciiTheme="majorHAnsi" w:hAnsiTheme="majorHAnsi" w:cstheme="majorHAnsi"/>
          <w:bCs/>
        </w:rPr>
        <w:t xml:space="preserve"> </w:t>
      </w:r>
      <w:r w:rsidR="00643FC2">
        <w:rPr>
          <w:rFonts w:asciiTheme="majorHAnsi" w:hAnsiTheme="majorHAnsi" w:cstheme="majorHAnsi"/>
          <w:bCs/>
        </w:rPr>
        <w:t>A</w:t>
      </w:r>
      <w:proofErr w:type="gramEnd"/>
      <w:r w:rsidR="00643FC2">
        <w:rPr>
          <w:rFonts w:asciiTheme="majorHAnsi" w:hAnsiTheme="majorHAnsi" w:cstheme="majorHAnsi"/>
          <w:bCs/>
        </w:rPr>
        <w:t xml:space="preserve"> Cultura da Gare</w:t>
      </w:r>
    </w:p>
    <w:p w14:paraId="36AC041A" w14:textId="72AE3F61" w:rsidR="00EA7704" w:rsidRDefault="00EA7704" w:rsidP="00320703">
      <w:pPr>
        <w:pStyle w:val="PargrafodaLista"/>
        <w:numPr>
          <w:ilvl w:val="0"/>
          <w:numId w:val="11"/>
        </w:numPr>
        <w:spacing w:line="240" w:lineRule="auto"/>
        <w:ind w:left="142" w:hanging="142"/>
        <w:contextualSpacing w:val="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Módulo</w:t>
      </w:r>
      <w:r w:rsidR="00B735FB">
        <w:rPr>
          <w:rFonts w:asciiTheme="majorHAnsi" w:hAnsiTheme="majorHAnsi" w:cstheme="majorHAnsi"/>
          <w:bCs/>
        </w:rPr>
        <w:t xml:space="preserve"> 10 </w:t>
      </w:r>
      <w:r>
        <w:rPr>
          <w:rFonts w:asciiTheme="majorHAnsi" w:hAnsiTheme="majorHAnsi" w:cstheme="majorHAnsi"/>
          <w:bCs/>
        </w:rPr>
        <w:t>- A Cultura do Espaço Virtual</w:t>
      </w:r>
    </w:p>
    <w:p w14:paraId="4F6F8AC0" w14:textId="77777777" w:rsidR="00E70F12" w:rsidRDefault="00E70F12" w:rsidP="00E70F12">
      <w:pPr>
        <w:pStyle w:val="PargrafodaLista"/>
        <w:spacing w:line="240" w:lineRule="auto"/>
        <w:ind w:left="142"/>
        <w:jc w:val="both"/>
        <w:rPr>
          <w:rFonts w:asciiTheme="majorHAnsi" w:hAnsiTheme="majorHAnsi" w:cstheme="majorHAnsi"/>
          <w:bCs/>
        </w:rPr>
      </w:pPr>
    </w:p>
    <w:p w14:paraId="052AD35A" w14:textId="77777777" w:rsidR="00E70F12" w:rsidRDefault="00E70F12" w:rsidP="00E70F12">
      <w:pPr>
        <w:pStyle w:val="PargrafodaLista"/>
        <w:spacing w:line="240" w:lineRule="auto"/>
        <w:ind w:left="142"/>
        <w:jc w:val="both"/>
        <w:rPr>
          <w:rFonts w:asciiTheme="majorHAnsi" w:hAnsiTheme="majorHAnsi" w:cstheme="majorHAnsi"/>
          <w:bCs/>
        </w:rPr>
      </w:pPr>
    </w:p>
    <w:p w14:paraId="56FAD0E0" w14:textId="77777777" w:rsidR="00E70F12" w:rsidRDefault="00E70F12" w:rsidP="00E70F12">
      <w:pPr>
        <w:pStyle w:val="PargrafodaLista"/>
        <w:spacing w:line="240" w:lineRule="auto"/>
        <w:ind w:left="142"/>
        <w:jc w:val="both"/>
        <w:rPr>
          <w:rFonts w:asciiTheme="majorHAnsi" w:hAnsiTheme="majorHAnsi" w:cstheme="majorHAnsi"/>
          <w:bCs/>
        </w:rPr>
      </w:pPr>
    </w:p>
    <w:p w14:paraId="6F2C0F84" w14:textId="77777777" w:rsidR="00E70F12" w:rsidRPr="00E70F12" w:rsidRDefault="00E70F12" w:rsidP="00E70F12">
      <w:pPr>
        <w:pStyle w:val="PargrafodaLista"/>
        <w:spacing w:line="240" w:lineRule="auto"/>
        <w:ind w:left="142"/>
        <w:jc w:val="both"/>
        <w:rPr>
          <w:rFonts w:asciiTheme="majorHAnsi" w:hAnsiTheme="majorHAnsi" w:cstheme="majorHAnsi"/>
          <w:bCs/>
        </w:rPr>
      </w:pPr>
    </w:p>
    <w:p w14:paraId="085C3B9C" w14:textId="77777777" w:rsidR="00CB69E4" w:rsidRPr="00CB69E4" w:rsidRDefault="00CB69E4" w:rsidP="00CB69E4">
      <w:pPr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  <w:b/>
          <w:bCs/>
        </w:rPr>
        <w:t>CARACTERIZAÇÃO DA PROVA</w:t>
      </w:r>
    </w:p>
    <w:p w14:paraId="55677E80" w14:textId="307D2D77" w:rsidR="00E70F12" w:rsidRPr="00E70F12" w:rsidRDefault="00E70F12" w:rsidP="00E70F12">
      <w:pPr>
        <w:jc w:val="both"/>
        <w:rPr>
          <w:rFonts w:asciiTheme="majorHAnsi" w:hAnsiTheme="majorHAnsi" w:cstheme="majorHAnsi"/>
          <w:color w:val="242021"/>
          <w:szCs w:val="24"/>
        </w:rPr>
      </w:pPr>
      <w:r w:rsidRPr="00E70F12">
        <w:rPr>
          <w:rFonts w:asciiTheme="majorHAnsi" w:hAnsiTheme="majorHAnsi" w:cstheme="majorHAnsi"/>
          <w:color w:val="242021"/>
          <w:szCs w:val="24"/>
        </w:rPr>
        <w:t>A prova inclui itens de seleção (por exemplo, escolha múltipla</w:t>
      </w:r>
      <w:r w:rsidR="007C2C84">
        <w:rPr>
          <w:rFonts w:asciiTheme="majorHAnsi" w:hAnsiTheme="majorHAnsi" w:cstheme="majorHAnsi"/>
          <w:color w:val="242021"/>
          <w:szCs w:val="24"/>
        </w:rPr>
        <w:t>,</w:t>
      </w:r>
      <w:r w:rsidR="00E668E7">
        <w:rPr>
          <w:rFonts w:asciiTheme="majorHAnsi" w:hAnsiTheme="majorHAnsi" w:cstheme="majorHAnsi"/>
          <w:color w:val="242021"/>
          <w:szCs w:val="24"/>
        </w:rPr>
        <w:t xml:space="preserve"> </w:t>
      </w:r>
      <w:r w:rsidR="007C2C84">
        <w:rPr>
          <w:rFonts w:asciiTheme="majorHAnsi" w:hAnsiTheme="majorHAnsi" w:cstheme="majorHAnsi"/>
          <w:color w:val="242021"/>
          <w:szCs w:val="24"/>
        </w:rPr>
        <w:t>correspondência</w:t>
      </w:r>
      <w:r w:rsidR="00E668E7">
        <w:rPr>
          <w:rFonts w:asciiTheme="majorHAnsi" w:hAnsiTheme="majorHAnsi" w:cstheme="majorHAnsi"/>
          <w:color w:val="242021"/>
          <w:szCs w:val="24"/>
        </w:rPr>
        <w:t>, verdadeiro/ falso</w:t>
      </w:r>
      <w:r w:rsidRPr="00E70F12">
        <w:rPr>
          <w:rFonts w:asciiTheme="majorHAnsi" w:hAnsiTheme="majorHAnsi" w:cstheme="majorHAnsi"/>
          <w:color w:val="242021"/>
          <w:szCs w:val="24"/>
        </w:rPr>
        <w:t>) e itens de construção (por exemplo, resposta restrita ou extensa), através de questões de resposta obrigatória e de questões de resposta optativa.</w:t>
      </w:r>
    </w:p>
    <w:p w14:paraId="7E6CE27E" w14:textId="77777777" w:rsidR="00E70F12" w:rsidRPr="00E70F12" w:rsidRDefault="00E70F12" w:rsidP="00E70F12">
      <w:pPr>
        <w:jc w:val="both"/>
        <w:rPr>
          <w:rFonts w:asciiTheme="majorHAnsi" w:hAnsiTheme="majorHAnsi" w:cstheme="majorHAnsi"/>
          <w:color w:val="242021"/>
          <w:szCs w:val="24"/>
        </w:rPr>
      </w:pPr>
      <w:r w:rsidRPr="00E70F12">
        <w:rPr>
          <w:rFonts w:asciiTheme="majorHAnsi" w:hAnsiTheme="majorHAnsi" w:cstheme="majorHAnsi"/>
          <w:color w:val="242021"/>
          <w:szCs w:val="24"/>
        </w:rPr>
        <w:t xml:space="preserve">Os itens podem ter como suporte um ou mais documentos, como textos, figuras, plantas, mapas, cronologias, fotografias e esquemas. </w:t>
      </w:r>
    </w:p>
    <w:p w14:paraId="3239EE7D" w14:textId="77777777" w:rsidR="00E70F12" w:rsidRPr="00E70F12" w:rsidRDefault="00E70F12" w:rsidP="00E70F12">
      <w:pPr>
        <w:jc w:val="both"/>
        <w:rPr>
          <w:rFonts w:asciiTheme="majorHAnsi" w:hAnsiTheme="majorHAnsi" w:cstheme="majorHAnsi"/>
          <w:color w:val="242021"/>
          <w:szCs w:val="24"/>
        </w:rPr>
      </w:pPr>
      <w:r w:rsidRPr="00E70F12">
        <w:rPr>
          <w:rFonts w:asciiTheme="majorHAnsi" w:hAnsiTheme="majorHAnsi" w:cstheme="majorHAnsi"/>
          <w:color w:val="242021"/>
          <w:szCs w:val="24"/>
        </w:rPr>
        <w:t>As respostas aos itens podem requerer a mobilização articulada de ap</w:t>
      </w:r>
      <w:r w:rsidR="00320703">
        <w:rPr>
          <w:rFonts w:asciiTheme="majorHAnsi" w:hAnsiTheme="majorHAnsi" w:cstheme="majorHAnsi"/>
          <w:color w:val="242021"/>
          <w:szCs w:val="24"/>
        </w:rPr>
        <w:t xml:space="preserve">rendizagens relativas a mais do </w:t>
      </w:r>
      <w:r w:rsidRPr="00E70F12">
        <w:rPr>
          <w:rFonts w:asciiTheme="majorHAnsi" w:hAnsiTheme="majorHAnsi" w:cstheme="majorHAnsi"/>
          <w:color w:val="242021"/>
          <w:szCs w:val="24"/>
        </w:rPr>
        <w:t>que um dos módulos dos documentos curriculares.</w:t>
      </w:r>
    </w:p>
    <w:p w14:paraId="737F0ED8" w14:textId="77777777" w:rsidR="00E70F12" w:rsidRPr="00E70F12" w:rsidRDefault="00E70F12" w:rsidP="00E70F12">
      <w:pPr>
        <w:rPr>
          <w:rFonts w:asciiTheme="majorHAnsi" w:hAnsiTheme="majorHAnsi" w:cstheme="majorHAnsi"/>
          <w:color w:val="242021"/>
          <w:szCs w:val="24"/>
        </w:rPr>
      </w:pPr>
      <w:r w:rsidRPr="00E70F12">
        <w:rPr>
          <w:rFonts w:asciiTheme="majorHAnsi" w:hAnsiTheme="majorHAnsi" w:cstheme="majorHAnsi"/>
          <w:color w:val="242021"/>
          <w:szCs w:val="24"/>
        </w:rPr>
        <w:t>A prova é cotada para 100 pontos.</w:t>
      </w:r>
    </w:p>
    <w:p w14:paraId="6C6961B6" w14:textId="77777777" w:rsidR="004B582F" w:rsidRPr="00CB69E4" w:rsidRDefault="004B582F" w:rsidP="00CB69E4">
      <w:pPr>
        <w:jc w:val="both"/>
        <w:rPr>
          <w:rFonts w:asciiTheme="majorHAnsi" w:hAnsiTheme="majorHAnsi" w:cstheme="majorHAnsi"/>
        </w:rPr>
      </w:pPr>
    </w:p>
    <w:p w14:paraId="21D67D07" w14:textId="77777777" w:rsidR="00E70F12" w:rsidRPr="00E70F12" w:rsidRDefault="00CB69E4" w:rsidP="00E70F12">
      <w:pPr>
        <w:jc w:val="both"/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  <w:b/>
          <w:bCs/>
        </w:rPr>
        <w:t>MATERIAL</w:t>
      </w:r>
      <w:r w:rsidRPr="00CB69E4">
        <w:rPr>
          <w:rFonts w:asciiTheme="majorHAnsi" w:hAnsiTheme="majorHAnsi" w:cstheme="majorHAnsi"/>
        </w:rPr>
        <w:br/>
      </w:r>
      <w:r w:rsidR="00E70F12" w:rsidRPr="00E70F12">
        <w:rPr>
          <w:rFonts w:asciiTheme="majorHAnsi" w:hAnsiTheme="majorHAnsi" w:cstheme="majorHAnsi"/>
        </w:rPr>
        <w:t>As respostas são registadas em folha própria, fornecida pelo estabelecimento de ensino (modelo oficial).</w:t>
      </w:r>
    </w:p>
    <w:p w14:paraId="3C873D66" w14:textId="77777777" w:rsidR="00E70F12" w:rsidRPr="00E70F12" w:rsidRDefault="00E70F12" w:rsidP="00E70F12">
      <w:pPr>
        <w:jc w:val="both"/>
        <w:rPr>
          <w:rFonts w:asciiTheme="majorHAnsi" w:hAnsiTheme="majorHAnsi" w:cstheme="majorHAnsi"/>
        </w:rPr>
      </w:pPr>
      <w:r w:rsidRPr="00E70F12">
        <w:rPr>
          <w:rFonts w:asciiTheme="majorHAnsi" w:hAnsiTheme="majorHAnsi" w:cstheme="majorHAnsi"/>
        </w:rPr>
        <w:t>Como material de escrita, apenas pode ser usada caneta ou esferográfica de tinta azul ou preta.</w:t>
      </w:r>
    </w:p>
    <w:p w14:paraId="2B4B5350" w14:textId="77777777" w:rsidR="00CB69E4" w:rsidRPr="00CB69E4" w:rsidRDefault="00E70F12" w:rsidP="00E70F12">
      <w:pPr>
        <w:jc w:val="both"/>
        <w:rPr>
          <w:rFonts w:asciiTheme="majorHAnsi" w:hAnsiTheme="majorHAnsi" w:cstheme="majorHAnsi"/>
        </w:rPr>
      </w:pPr>
      <w:r w:rsidRPr="00E70F12">
        <w:rPr>
          <w:rFonts w:asciiTheme="majorHAnsi" w:hAnsiTheme="majorHAnsi" w:cstheme="majorHAnsi"/>
        </w:rPr>
        <w:t>Não é permitido o uso de corretor.</w:t>
      </w:r>
    </w:p>
    <w:p w14:paraId="03C7F510" w14:textId="77777777" w:rsidR="004B582F" w:rsidRDefault="004B582F" w:rsidP="00CB69E4">
      <w:pPr>
        <w:rPr>
          <w:rFonts w:asciiTheme="majorHAnsi" w:hAnsiTheme="majorHAnsi" w:cstheme="majorHAnsi"/>
        </w:rPr>
      </w:pPr>
    </w:p>
    <w:p w14:paraId="1232A326" w14:textId="3040DE1B" w:rsidR="004B582F" w:rsidRPr="00CB69E4" w:rsidRDefault="00CB69E4" w:rsidP="00CB69E4">
      <w:pPr>
        <w:jc w:val="both"/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  <w:b/>
          <w:bCs/>
        </w:rPr>
        <w:t>DURAÇÃO</w:t>
      </w:r>
      <w:r w:rsidRPr="00CB69E4">
        <w:rPr>
          <w:rFonts w:asciiTheme="majorHAnsi" w:hAnsiTheme="majorHAnsi" w:cstheme="majorHAnsi"/>
        </w:rPr>
        <w:br/>
      </w:r>
      <w:proofErr w:type="gramStart"/>
      <w:r w:rsidR="00E70F12" w:rsidRPr="00E70F12">
        <w:rPr>
          <w:rFonts w:asciiTheme="majorHAnsi" w:hAnsiTheme="majorHAnsi" w:cstheme="majorHAnsi"/>
        </w:rPr>
        <w:t>A  duração</w:t>
      </w:r>
      <w:proofErr w:type="gramEnd"/>
      <w:r w:rsidR="00BB19CE">
        <w:rPr>
          <w:rFonts w:asciiTheme="majorHAnsi" w:hAnsiTheme="majorHAnsi" w:cstheme="majorHAnsi"/>
        </w:rPr>
        <w:t xml:space="preserve"> total da prova, que engloba</w:t>
      </w:r>
      <w:r w:rsidR="003D7A61">
        <w:rPr>
          <w:rFonts w:asciiTheme="majorHAnsi" w:hAnsiTheme="majorHAnsi" w:cstheme="majorHAnsi"/>
        </w:rPr>
        <w:t xml:space="preserve"> </w:t>
      </w:r>
      <w:r w:rsidR="00BB19CE">
        <w:rPr>
          <w:rFonts w:asciiTheme="majorHAnsi" w:hAnsiTheme="majorHAnsi" w:cstheme="majorHAnsi"/>
        </w:rPr>
        <w:t>a componente da área geral e</w:t>
      </w:r>
      <w:r w:rsidR="003D7A61">
        <w:rPr>
          <w:rFonts w:asciiTheme="majorHAnsi" w:hAnsiTheme="majorHAnsi" w:cstheme="majorHAnsi"/>
        </w:rPr>
        <w:t xml:space="preserve"> a componente da área especifica, é </w:t>
      </w:r>
      <w:r w:rsidR="00E70F12" w:rsidRPr="00E70F12">
        <w:rPr>
          <w:rFonts w:asciiTheme="majorHAnsi" w:hAnsiTheme="majorHAnsi" w:cstheme="majorHAnsi"/>
        </w:rPr>
        <w:t xml:space="preserve">de </w:t>
      </w:r>
      <w:r w:rsidR="003D7A61">
        <w:rPr>
          <w:rFonts w:asciiTheme="majorHAnsi" w:hAnsiTheme="majorHAnsi" w:cstheme="majorHAnsi"/>
        </w:rPr>
        <w:t>120</w:t>
      </w:r>
      <w:r w:rsidR="00E70F12" w:rsidRPr="00E70F12">
        <w:rPr>
          <w:rFonts w:asciiTheme="majorHAnsi" w:hAnsiTheme="majorHAnsi" w:cstheme="majorHAnsi"/>
        </w:rPr>
        <w:t xml:space="preserve"> minutos, a que acre</w:t>
      </w:r>
      <w:r w:rsidR="00E70F12">
        <w:rPr>
          <w:rFonts w:asciiTheme="majorHAnsi" w:hAnsiTheme="majorHAnsi" w:cstheme="majorHAnsi"/>
        </w:rPr>
        <w:t xml:space="preserve">sce </w:t>
      </w:r>
      <w:r w:rsidR="003D7A61">
        <w:rPr>
          <w:rFonts w:asciiTheme="majorHAnsi" w:hAnsiTheme="majorHAnsi" w:cstheme="majorHAnsi"/>
        </w:rPr>
        <w:t>30 minutos de</w:t>
      </w:r>
      <w:r w:rsidR="00E70F12">
        <w:rPr>
          <w:rFonts w:asciiTheme="majorHAnsi" w:hAnsiTheme="majorHAnsi" w:cstheme="majorHAnsi"/>
        </w:rPr>
        <w:t xml:space="preserve"> tolerância</w:t>
      </w:r>
      <w:r w:rsidR="003D7A61">
        <w:rPr>
          <w:rFonts w:asciiTheme="majorHAnsi" w:hAnsiTheme="majorHAnsi" w:cstheme="majorHAnsi"/>
        </w:rPr>
        <w:t>. Cada componente foi construída para ser resolvida em 60 minutos</w:t>
      </w:r>
      <w:r w:rsidR="00E971CA">
        <w:rPr>
          <w:rFonts w:asciiTheme="majorHAnsi" w:hAnsiTheme="majorHAnsi" w:cstheme="majorHAnsi"/>
        </w:rPr>
        <w:t xml:space="preserve">, ficando, contudo, a gestão do tempo de resolução ao critério do candidato. </w:t>
      </w:r>
    </w:p>
    <w:p w14:paraId="3BA9B130" w14:textId="77777777" w:rsidR="00CB69E4" w:rsidRPr="00CB69E4" w:rsidRDefault="00CB69E4" w:rsidP="00CB69E4">
      <w:pPr>
        <w:tabs>
          <w:tab w:val="left" w:pos="945"/>
        </w:tabs>
      </w:pPr>
    </w:p>
    <w:sectPr w:rsidR="00CB69E4" w:rsidRPr="00CB69E4" w:rsidSect="00A526C4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BC060" w14:textId="77777777" w:rsidR="00703A05" w:rsidRDefault="00703A05" w:rsidP="00CB69E4">
      <w:pPr>
        <w:spacing w:after="0" w:line="240" w:lineRule="auto"/>
      </w:pPr>
      <w:r>
        <w:separator/>
      </w:r>
    </w:p>
  </w:endnote>
  <w:endnote w:type="continuationSeparator" w:id="0">
    <w:p w14:paraId="54F1F7BD" w14:textId="77777777" w:rsidR="00703A05" w:rsidRDefault="00703A05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6626A" w14:textId="77777777" w:rsidR="00703A05" w:rsidRDefault="00703A05" w:rsidP="00CB69E4">
      <w:pPr>
        <w:spacing w:after="0" w:line="240" w:lineRule="auto"/>
      </w:pPr>
      <w:r>
        <w:separator/>
      </w:r>
    </w:p>
  </w:footnote>
  <w:footnote w:type="continuationSeparator" w:id="0">
    <w:p w14:paraId="61E09F13" w14:textId="77777777" w:rsidR="00703A05" w:rsidRDefault="00703A05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E3C7A" w14:textId="77777777" w:rsidR="009A1C3D" w:rsidRDefault="00CB69E4" w:rsidP="009A1C3D">
    <w:pPr>
      <w:pStyle w:val="Cabealho"/>
      <w:tabs>
        <w:tab w:val="clear" w:pos="4252"/>
        <w:tab w:val="clear" w:pos="8504"/>
        <w:tab w:val="left" w:pos="660"/>
      </w:tabs>
      <w:jc w:val="right"/>
    </w:pPr>
    <w:r w:rsidRPr="00CB69E4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7915B596" wp14:editId="50E4327A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82F">
      <w:tab/>
      <w:t xml:space="preserve"> </w:t>
    </w:r>
  </w:p>
  <w:p w14:paraId="5042BD15" w14:textId="77777777" w:rsidR="00CB69E4" w:rsidRPr="009A1C3D" w:rsidRDefault="004B582F" w:rsidP="009A1C3D">
    <w:pPr>
      <w:pStyle w:val="Cabealho"/>
      <w:tabs>
        <w:tab w:val="clear" w:pos="4252"/>
        <w:tab w:val="clear" w:pos="8504"/>
        <w:tab w:val="left" w:pos="660"/>
      </w:tabs>
    </w:pPr>
    <w:r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7E324B"/>
    <w:multiLevelType w:val="hybridMultilevel"/>
    <w:tmpl w:val="6AC45F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1679DA"/>
    <w:multiLevelType w:val="hybridMultilevel"/>
    <w:tmpl w:val="745A24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9E4"/>
    <w:rsid w:val="000349C9"/>
    <w:rsid w:val="0004336A"/>
    <w:rsid w:val="000D3BCD"/>
    <w:rsid w:val="00185B39"/>
    <w:rsid w:val="001D5C2D"/>
    <w:rsid w:val="002C2B92"/>
    <w:rsid w:val="002C664C"/>
    <w:rsid w:val="00320703"/>
    <w:rsid w:val="003D7A61"/>
    <w:rsid w:val="004B582F"/>
    <w:rsid w:val="004E27D2"/>
    <w:rsid w:val="004E4010"/>
    <w:rsid w:val="00530F7C"/>
    <w:rsid w:val="00562893"/>
    <w:rsid w:val="00643FC2"/>
    <w:rsid w:val="00682A2D"/>
    <w:rsid w:val="00703A05"/>
    <w:rsid w:val="007A50D7"/>
    <w:rsid w:val="007C2C84"/>
    <w:rsid w:val="0080084D"/>
    <w:rsid w:val="00853FE7"/>
    <w:rsid w:val="008A3817"/>
    <w:rsid w:val="00901166"/>
    <w:rsid w:val="00953F85"/>
    <w:rsid w:val="009706FB"/>
    <w:rsid w:val="00987FED"/>
    <w:rsid w:val="009A1C3D"/>
    <w:rsid w:val="00A526C4"/>
    <w:rsid w:val="00A63B3E"/>
    <w:rsid w:val="00B31540"/>
    <w:rsid w:val="00B735FB"/>
    <w:rsid w:val="00BB19CE"/>
    <w:rsid w:val="00C41C50"/>
    <w:rsid w:val="00C515E6"/>
    <w:rsid w:val="00CB69E4"/>
    <w:rsid w:val="00CD0FDC"/>
    <w:rsid w:val="00CF1842"/>
    <w:rsid w:val="00D80069"/>
    <w:rsid w:val="00E668E7"/>
    <w:rsid w:val="00E70F12"/>
    <w:rsid w:val="00E971CA"/>
    <w:rsid w:val="00EA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2F514"/>
  <w15:chartTrackingRefBased/>
  <w15:docId w15:val="{81C5D24C-F4C6-F046-BEF4-491A778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69E4"/>
  </w:style>
  <w:style w:type="paragraph" w:styleId="Rodap">
    <w:name w:val="footer"/>
    <w:basedOn w:val="Normal"/>
    <w:link w:val="Rodap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69E4"/>
  </w:style>
  <w:style w:type="character" w:customStyle="1" w:styleId="fontstyle01">
    <w:name w:val="fontstyle01"/>
    <w:basedOn w:val="Tipodeletrapredefinidodopargrafo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Tipodeletrapredefinidodopargrafo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CB69E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1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Duarte dos Santos</dc:creator>
  <cp:keywords/>
  <dc:description/>
  <cp:lastModifiedBy>Antonio Meireles</cp:lastModifiedBy>
  <cp:revision>2</cp:revision>
  <dcterms:created xsi:type="dcterms:W3CDTF">2021-06-07T15:27:00Z</dcterms:created>
  <dcterms:modified xsi:type="dcterms:W3CDTF">2021-06-07T15:27:00Z</dcterms:modified>
</cp:coreProperties>
</file>