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972E2" w14:textId="67E124AB" w:rsidR="00CB69E4" w:rsidRPr="004B582F" w:rsidRDefault="00D56CE8" w:rsidP="00CB69E4">
      <w:pPr>
        <w:pBdr>
          <w:bottom w:val="single" w:sz="6" w:space="0" w:color="auto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Informação de Prova</w:t>
      </w:r>
      <w:r w:rsidR="00CB69E4" w:rsidRPr="00CB69E4">
        <w:rPr>
          <w:rFonts w:asciiTheme="majorHAnsi" w:hAnsiTheme="majorHAnsi" w:cstheme="majorHAnsi"/>
          <w:b/>
          <w:bCs/>
          <w:sz w:val="28"/>
          <w:szCs w:val="28"/>
        </w:rPr>
        <w:t xml:space="preserve"> - 202</w:t>
      </w:r>
      <w:r w:rsidR="008827A9">
        <w:rPr>
          <w:rFonts w:asciiTheme="majorHAnsi" w:hAnsiTheme="majorHAnsi" w:cstheme="majorHAnsi"/>
          <w:b/>
          <w:bCs/>
          <w:sz w:val="28"/>
          <w:szCs w:val="28"/>
        </w:rPr>
        <w:t>1</w:t>
      </w:r>
      <w:bookmarkStart w:id="0" w:name="_GoBack"/>
      <w:bookmarkEnd w:id="0"/>
      <w:r w:rsidR="00CB69E4" w:rsidRPr="00CB69E4">
        <w:rPr>
          <w:rFonts w:asciiTheme="majorHAnsi" w:hAnsiTheme="majorHAnsi" w:cstheme="majorHAnsi"/>
          <w:b/>
          <w:bCs/>
          <w:sz w:val="28"/>
          <w:szCs w:val="28"/>
        </w:rPr>
        <w:br/>
      </w:r>
      <w:r w:rsidR="00454797">
        <w:rPr>
          <w:rFonts w:asciiTheme="majorHAnsi" w:hAnsiTheme="majorHAnsi" w:cstheme="majorHAnsi"/>
          <w:b/>
          <w:bCs/>
          <w:sz w:val="28"/>
          <w:szCs w:val="28"/>
        </w:rPr>
        <w:t>BIOLOGIA</w:t>
      </w:r>
    </w:p>
    <w:p w14:paraId="41494AB4" w14:textId="77777777" w:rsid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</w:p>
    <w:p w14:paraId="33C3A5F2" w14:textId="77777777" w:rsidR="004B582F" w:rsidRP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  <w:r w:rsidRPr="004B582F">
        <w:rPr>
          <w:rFonts w:asciiTheme="majorHAnsi" w:hAnsiTheme="majorHAnsi" w:cstheme="majorHAnsi"/>
          <w:b/>
          <w:bCs/>
        </w:rPr>
        <w:t>PROVA DE AVALIAÇÃO DE CONHECIMENTOS</w:t>
      </w:r>
    </w:p>
    <w:p w14:paraId="73C2047C" w14:textId="77777777" w:rsidR="00BE003F" w:rsidRPr="00BE003F" w:rsidRDefault="00BE003F" w:rsidP="00BE003F">
      <w:pPr>
        <w:pStyle w:val="NormalWeb"/>
        <w:jc w:val="both"/>
        <w:rPr>
          <w:rFonts w:asciiTheme="majorHAnsi" w:hAnsiTheme="majorHAnsi" w:cstheme="majorHAnsi"/>
        </w:rPr>
      </w:pPr>
      <w:r w:rsidRPr="00BE003F">
        <w:rPr>
          <w:rFonts w:asciiTheme="majorHAnsi" w:hAnsiTheme="majorHAnsi" w:cstheme="majorHAnsi"/>
        </w:rPr>
        <w:t xml:space="preserve">O presente documento divulga informação relativa à prova de avaliação do Concurso Especial de ingresso dos alunos de dupla titulação de nível secundário e cursos artísticos especializados em licenciaturas da região norte da disciplina de </w:t>
      </w:r>
      <w:r w:rsidR="00454797">
        <w:rPr>
          <w:rFonts w:asciiTheme="majorHAnsi" w:hAnsiTheme="majorHAnsi" w:cstheme="majorHAnsi"/>
        </w:rPr>
        <w:t>Biologia</w:t>
      </w:r>
      <w:r w:rsidRPr="00BE003F">
        <w:rPr>
          <w:rFonts w:asciiTheme="majorHAnsi" w:hAnsiTheme="majorHAnsi" w:cstheme="majorHAnsi"/>
        </w:rPr>
        <w:t>, a realizar em 2020, nomeadamente no que se refere:</w:t>
      </w:r>
    </w:p>
    <w:p w14:paraId="75330580" w14:textId="77777777" w:rsidR="00CB69E4" w:rsidRPr="00CB69E4" w:rsidRDefault="00CB69E4" w:rsidP="00CB69E4">
      <w:pPr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</w:rPr>
        <w:t>• Objeto de avaliação</w:t>
      </w:r>
      <w:r w:rsidRPr="00CB69E4">
        <w:rPr>
          <w:rFonts w:asciiTheme="majorHAnsi" w:hAnsiTheme="majorHAnsi" w:cstheme="majorHAnsi"/>
        </w:rPr>
        <w:br/>
        <w:t>• Caracterização da prova</w:t>
      </w:r>
      <w:r w:rsidRPr="00CB69E4">
        <w:rPr>
          <w:rFonts w:asciiTheme="majorHAnsi" w:hAnsiTheme="majorHAnsi" w:cstheme="majorHAnsi"/>
        </w:rPr>
        <w:br/>
        <w:t>• Material</w:t>
      </w:r>
      <w:r w:rsidRPr="00CB69E4">
        <w:rPr>
          <w:rFonts w:asciiTheme="majorHAnsi" w:hAnsiTheme="majorHAnsi" w:cstheme="majorHAnsi"/>
        </w:rPr>
        <w:br/>
        <w:t>• Duração</w:t>
      </w:r>
    </w:p>
    <w:p w14:paraId="4166F477" w14:textId="77777777" w:rsidR="00CB69E4" w:rsidRDefault="00CB69E4" w:rsidP="00CB69E4">
      <w:pPr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</w:rPr>
        <w:br/>
      </w:r>
      <w:r w:rsidRPr="00CB69E4">
        <w:rPr>
          <w:rFonts w:asciiTheme="majorHAnsi" w:hAnsiTheme="majorHAnsi" w:cstheme="majorHAnsi"/>
          <w:b/>
          <w:bCs/>
        </w:rPr>
        <w:t>OBJETO DE AVALIAÇÃO</w:t>
      </w:r>
    </w:p>
    <w:p w14:paraId="25BD418A" w14:textId="37CF714C" w:rsidR="004B582F" w:rsidRPr="008535F4" w:rsidRDefault="00454797" w:rsidP="00CB69E4">
      <w:pPr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8535F4">
        <w:rPr>
          <w:rFonts w:asciiTheme="majorHAnsi" w:eastAsia="Times New Roman" w:hAnsiTheme="majorHAnsi" w:cstheme="majorHAnsi"/>
          <w:szCs w:val="24"/>
          <w:lang w:eastAsia="pt-PT"/>
        </w:rPr>
        <w:t>A prova tem por referência os documentos c</w:t>
      </w:r>
      <w:r w:rsidR="00CD061B">
        <w:rPr>
          <w:rFonts w:asciiTheme="majorHAnsi" w:eastAsia="Times New Roman" w:hAnsiTheme="majorHAnsi" w:cstheme="majorHAnsi"/>
          <w:szCs w:val="24"/>
          <w:lang w:eastAsia="pt-PT"/>
        </w:rPr>
        <w:t>urriculares em vigor para os 10º, 11</w:t>
      </w:r>
      <w:r w:rsidRPr="008535F4">
        <w:rPr>
          <w:rFonts w:asciiTheme="majorHAnsi" w:eastAsia="Times New Roman" w:hAnsiTheme="majorHAnsi" w:cstheme="majorHAnsi"/>
          <w:szCs w:val="24"/>
          <w:lang w:eastAsia="pt-PT"/>
        </w:rPr>
        <w:t>º e 12º anos dos cursos de dupla titulação de nível secundário e permite avaliar a aprendizagem passível de avaliação numa prova escrita de duração limitada, incidindo nomeadamente sobre as competências que se apresentam a seguir:</w:t>
      </w:r>
    </w:p>
    <w:p w14:paraId="68880979" w14:textId="77777777" w:rsidR="00454797" w:rsidRPr="008535F4" w:rsidRDefault="00454797" w:rsidP="00454797">
      <w:pPr>
        <w:ind w:left="567"/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8535F4">
        <w:rPr>
          <w:rFonts w:asciiTheme="majorHAnsi" w:eastAsia="Times New Roman" w:hAnsiTheme="majorHAnsi" w:cstheme="majorHAnsi"/>
          <w:szCs w:val="24"/>
          <w:lang w:eastAsia="pt-PT"/>
        </w:rPr>
        <w:t>- Compreender a diversidade e a organização das formas de vida, a célula como unidade estrutural e funcional dos seres vivos, seus organitos e funções, bem como a sua diferença em procariontes e eucariontes;</w:t>
      </w:r>
    </w:p>
    <w:p w14:paraId="45E04597" w14:textId="77777777" w:rsidR="00454797" w:rsidRPr="008535F4" w:rsidRDefault="00454797" w:rsidP="00454797">
      <w:pPr>
        <w:ind w:left="567"/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8535F4">
        <w:rPr>
          <w:rFonts w:asciiTheme="majorHAnsi" w:eastAsia="Times New Roman" w:hAnsiTheme="majorHAnsi" w:cstheme="majorHAnsi"/>
          <w:szCs w:val="24"/>
          <w:lang w:eastAsia="pt-PT"/>
        </w:rPr>
        <w:t xml:space="preserve">- Comparar os diferentes processos de obtenção de matéria e energia através do estudo dos processos de auto e </w:t>
      </w:r>
      <w:proofErr w:type="spellStart"/>
      <w:r w:rsidRPr="008535F4">
        <w:rPr>
          <w:rFonts w:asciiTheme="majorHAnsi" w:eastAsia="Times New Roman" w:hAnsiTheme="majorHAnsi" w:cstheme="majorHAnsi"/>
          <w:szCs w:val="24"/>
          <w:lang w:eastAsia="pt-PT"/>
        </w:rPr>
        <w:t>heterotrofia</w:t>
      </w:r>
      <w:proofErr w:type="spellEnd"/>
      <w:r w:rsidRPr="008535F4">
        <w:rPr>
          <w:rFonts w:asciiTheme="majorHAnsi" w:eastAsia="Times New Roman" w:hAnsiTheme="majorHAnsi" w:cstheme="majorHAnsi"/>
          <w:szCs w:val="24"/>
          <w:lang w:eastAsia="pt-PT"/>
        </w:rPr>
        <w:t xml:space="preserve"> em seres vivos com diferentes graus de complexidade;</w:t>
      </w:r>
    </w:p>
    <w:p w14:paraId="47DA9B81" w14:textId="77777777" w:rsidR="00454797" w:rsidRPr="008535F4" w:rsidRDefault="00454797" w:rsidP="00454797">
      <w:pPr>
        <w:ind w:left="567"/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8535F4">
        <w:rPr>
          <w:rFonts w:asciiTheme="majorHAnsi" w:eastAsia="Times New Roman" w:hAnsiTheme="majorHAnsi" w:cstheme="majorHAnsi"/>
          <w:szCs w:val="24"/>
          <w:lang w:eastAsia="pt-PT"/>
        </w:rPr>
        <w:t>- Compreender o papel dos ácidos nucleicos na síntese das proteínas pela célula, bem como a mitose enquanto processo que garante a manutenção do património genético durante a divisão celular;</w:t>
      </w:r>
    </w:p>
    <w:p w14:paraId="288C820D" w14:textId="77777777" w:rsidR="00454797" w:rsidRPr="008535F4" w:rsidRDefault="00454797" w:rsidP="00454797">
      <w:pPr>
        <w:ind w:left="567"/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8535F4">
        <w:rPr>
          <w:rFonts w:asciiTheme="majorHAnsi" w:eastAsia="Times New Roman" w:hAnsiTheme="majorHAnsi" w:cstheme="majorHAnsi"/>
          <w:szCs w:val="24"/>
          <w:lang w:eastAsia="pt-PT"/>
        </w:rPr>
        <w:t>- Enquadrar o estudo da reprodução, nomeadamente, na diversidade de estratégias usadas pelos seres vivos e suas implicações ao nível da transferência de informação; nos processos sexuados é dado especial realce ao papel da meiose na promoção da variabilidade dos seres vivos;</w:t>
      </w:r>
    </w:p>
    <w:p w14:paraId="3165EC90" w14:textId="77777777" w:rsidR="00454797" w:rsidRPr="008535F4" w:rsidRDefault="00454797" w:rsidP="00454797">
      <w:pPr>
        <w:ind w:left="567"/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8535F4">
        <w:rPr>
          <w:rFonts w:asciiTheme="majorHAnsi" w:eastAsia="Times New Roman" w:hAnsiTheme="majorHAnsi" w:cstheme="majorHAnsi"/>
          <w:szCs w:val="24"/>
          <w:lang w:eastAsia="pt-PT"/>
        </w:rPr>
        <w:t>- Compreender os processos envolvidos na transmissão de características hereditárias entre as diferentes gerações de seres vivos;</w:t>
      </w:r>
    </w:p>
    <w:p w14:paraId="2E3120DD" w14:textId="77777777" w:rsidR="00454797" w:rsidRPr="008535F4" w:rsidRDefault="00454797" w:rsidP="00454797">
      <w:pPr>
        <w:ind w:left="567"/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8535F4">
        <w:rPr>
          <w:rFonts w:asciiTheme="majorHAnsi" w:eastAsia="Times New Roman" w:hAnsiTheme="majorHAnsi" w:cstheme="majorHAnsi"/>
          <w:szCs w:val="24"/>
          <w:lang w:eastAsia="pt-PT"/>
        </w:rPr>
        <w:t>- Compreender as interações microbianas e o seu papel na dinâmica dos ecossistemas.</w:t>
      </w:r>
    </w:p>
    <w:p w14:paraId="2DC67BE1" w14:textId="77777777" w:rsidR="00454797" w:rsidRPr="008535F4" w:rsidRDefault="00454797" w:rsidP="00454797">
      <w:pPr>
        <w:ind w:left="567"/>
        <w:jc w:val="both"/>
        <w:rPr>
          <w:rFonts w:asciiTheme="majorHAnsi" w:eastAsia="Times New Roman" w:hAnsiTheme="majorHAnsi" w:cstheme="majorHAnsi"/>
          <w:szCs w:val="24"/>
          <w:lang w:eastAsia="pt-PT"/>
        </w:rPr>
      </w:pPr>
    </w:p>
    <w:p w14:paraId="328B260E" w14:textId="77777777" w:rsidR="00454797" w:rsidRPr="008535F4" w:rsidRDefault="00454797" w:rsidP="00454797">
      <w:pPr>
        <w:jc w:val="both"/>
        <w:rPr>
          <w:rFonts w:asciiTheme="majorHAnsi" w:eastAsia="Times New Roman" w:hAnsiTheme="majorHAnsi" w:cstheme="majorHAnsi"/>
          <w:szCs w:val="24"/>
          <w:lang w:eastAsia="pt-PT"/>
        </w:rPr>
      </w:pPr>
      <w:r w:rsidRPr="00AC5A7F">
        <w:rPr>
          <w:rFonts w:asciiTheme="majorHAnsi" w:eastAsia="Times New Roman" w:hAnsiTheme="majorHAnsi" w:cstheme="majorHAnsi"/>
          <w:szCs w:val="24"/>
          <w:lang w:eastAsia="pt-PT"/>
        </w:rPr>
        <w:t>Do programa de Biologia selecionam-se, para objeto de avaliação, os módulos que a seguir se enunciam:</w:t>
      </w:r>
    </w:p>
    <w:p w14:paraId="1F3FAD39" w14:textId="65BF6A27" w:rsidR="00454797" w:rsidRPr="008535F4" w:rsidRDefault="00CF75A2" w:rsidP="00454797">
      <w:pPr>
        <w:pStyle w:val="Ttulo3"/>
        <w:numPr>
          <w:ilvl w:val="0"/>
          <w:numId w:val="11"/>
        </w:numPr>
        <w:rPr>
          <w:rFonts w:eastAsia="Times New Roman" w:cstheme="majorHAnsi"/>
          <w:b w:val="0"/>
          <w:sz w:val="22"/>
          <w:lang w:val="pt-PT" w:eastAsia="pt-PT"/>
        </w:rPr>
      </w:pPr>
      <w:r>
        <w:rPr>
          <w:rFonts w:eastAsia="Times New Roman" w:cstheme="majorHAnsi"/>
          <w:b w:val="0"/>
          <w:sz w:val="22"/>
          <w:lang w:val="pt-PT" w:eastAsia="pt-PT"/>
        </w:rPr>
        <w:lastRenderedPageBreak/>
        <w:t>Organização B</w:t>
      </w:r>
      <w:r w:rsidR="00454797" w:rsidRPr="008535F4">
        <w:rPr>
          <w:rFonts w:eastAsia="Times New Roman" w:cstheme="majorHAnsi"/>
          <w:b w:val="0"/>
          <w:sz w:val="22"/>
          <w:lang w:val="pt-PT" w:eastAsia="pt-PT"/>
        </w:rPr>
        <w:t>iológica</w:t>
      </w:r>
    </w:p>
    <w:p w14:paraId="68E517C8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iCs w:val="0"/>
          <w:szCs w:val="24"/>
          <w:lang w:eastAsia="pt-PT"/>
        </w:rPr>
      </w:pPr>
      <w:r w:rsidRPr="008535F4">
        <w:rPr>
          <w:rFonts w:eastAsia="Times New Roman" w:cstheme="majorHAnsi"/>
          <w:iCs w:val="0"/>
          <w:szCs w:val="24"/>
          <w:lang w:eastAsia="pt-PT"/>
        </w:rPr>
        <w:t>A célula: unidade estrutural e funcional dos seres vivos</w:t>
      </w:r>
    </w:p>
    <w:p w14:paraId="37CE36B6" w14:textId="77777777" w:rsidR="00454797" w:rsidRPr="008535F4" w:rsidRDefault="00454797" w:rsidP="00412CB5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szCs w:val="24"/>
          <w:lang w:eastAsia="pt-PT"/>
        </w:rPr>
      </w:pPr>
      <w:r w:rsidRPr="008535F4">
        <w:rPr>
          <w:rFonts w:eastAsia="Times New Roman" w:cstheme="majorHAnsi"/>
          <w:szCs w:val="24"/>
          <w:lang w:eastAsia="pt-PT"/>
        </w:rPr>
        <w:t>Organização celular - Estudo comparativo da estrutura geral das células procariontes e eucariontes.</w:t>
      </w:r>
    </w:p>
    <w:p w14:paraId="7D15C2E6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szCs w:val="24"/>
          <w:lang w:eastAsia="pt-PT"/>
        </w:rPr>
      </w:pPr>
      <w:r w:rsidRPr="008535F4">
        <w:rPr>
          <w:rFonts w:eastAsia="Times New Roman" w:cstheme="majorHAnsi"/>
          <w:szCs w:val="24"/>
          <w:lang w:eastAsia="pt-PT"/>
        </w:rPr>
        <w:t>Organitos celulares – principais funções</w:t>
      </w:r>
    </w:p>
    <w:p w14:paraId="46E2E924" w14:textId="77777777" w:rsidR="00454797" w:rsidRPr="008535F4" w:rsidRDefault="00454797" w:rsidP="00454797">
      <w:pPr>
        <w:pStyle w:val="Ttulo3"/>
        <w:numPr>
          <w:ilvl w:val="0"/>
          <w:numId w:val="11"/>
        </w:numPr>
        <w:rPr>
          <w:rFonts w:eastAsia="Times New Roman" w:cstheme="majorHAnsi"/>
          <w:b w:val="0"/>
          <w:sz w:val="22"/>
          <w:lang w:val="pt-PT" w:eastAsia="pt-PT"/>
        </w:rPr>
      </w:pPr>
      <w:r w:rsidRPr="008535F4">
        <w:rPr>
          <w:rFonts w:eastAsia="Times New Roman" w:cstheme="majorHAnsi"/>
          <w:b w:val="0"/>
          <w:sz w:val="22"/>
          <w:lang w:val="pt-PT" w:eastAsia="pt-PT"/>
        </w:rPr>
        <w:t>Obtenção de Matéria e Energia</w:t>
      </w:r>
    </w:p>
    <w:p w14:paraId="0A16E006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szCs w:val="24"/>
          <w:lang w:eastAsia="pt-PT"/>
        </w:rPr>
      </w:pPr>
      <w:r w:rsidRPr="008535F4">
        <w:rPr>
          <w:rFonts w:eastAsia="Times New Roman" w:cstheme="majorHAnsi"/>
          <w:szCs w:val="24"/>
          <w:lang w:eastAsia="pt-PT"/>
        </w:rPr>
        <w:t>Obtenção de matéria pelos seres autotróficos e heterotróficos: Fotossíntese e Respiração</w:t>
      </w:r>
    </w:p>
    <w:p w14:paraId="2A9D06C5" w14:textId="77777777" w:rsidR="00454797" w:rsidRPr="008535F4" w:rsidRDefault="00454797" w:rsidP="00454797">
      <w:pPr>
        <w:pStyle w:val="Ttulo3"/>
        <w:numPr>
          <w:ilvl w:val="0"/>
          <w:numId w:val="11"/>
        </w:numPr>
        <w:rPr>
          <w:rFonts w:eastAsia="Times New Roman" w:cstheme="majorHAnsi"/>
          <w:b w:val="0"/>
          <w:sz w:val="22"/>
          <w:lang w:val="pt-PT" w:eastAsia="pt-PT"/>
        </w:rPr>
      </w:pPr>
      <w:r w:rsidRPr="008535F4">
        <w:rPr>
          <w:rFonts w:eastAsia="Times New Roman" w:cstheme="majorHAnsi"/>
          <w:b w:val="0"/>
          <w:sz w:val="22"/>
          <w:lang w:val="pt-PT" w:eastAsia="pt-PT"/>
        </w:rPr>
        <w:t xml:space="preserve">Renovação Celular </w:t>
      </w:r>
    </w:p>
    <w:p w14:paraId="65197D12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bCs/>
          <w:lang w:eastAsia="pt-PT"/>
        </w:rPr>
      </w:pPr>
      <w:r w:rsidRPr="008535F4">
        <w:rPr>
          <w:rFonts w:eastAsia="Times New Roman" w:cstheme="majorHAnsi"/>
          <w:bCs/>
          <w:lang w:eastAsia="pt-PT"/>
        </w:rPr>
        <w:t>Constituição do DNA e RNA</w:t>
      </w:r>
    </w:p>
    <w:p w14:paraId="1DDFFCA6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bCs/>
          <w:lang w:eastAsia="pt-PT"/>
        </w:rPr>
      </w:pPr>
      <w:r w:rsidRPr="008535F4">
        <w:rPr>
          <w:rFonts w:eastAsia="Times New Roman" w:cstheme="majorHAnsi"/>
          <w:bCs/>
          <w:lang w:eastAsia="pt-PT"/>
        </w:rPr>
        <w:t>Síntese proteica</w:t>
      </w:r>
    </w:p>
    <w:p w14:paraId="34EC2F5E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bCs/>
          <w:lang w:eastAsia="pt-PT"/>
        </w:rPr>
      </w:pPr>
      <w:r w:rsidRPr="008535F4">
        <w:rPr>
          <w:rFonts w:eastAsia="Times New Roman" w:cstheme="majorHAnsi"/>
          <w:bCs/>
          <w:lang w:eastAsia="pt-PT"/>
        </w:rPr>
        <w:t xml:space="preserve">Ciclo celular: interfase e divisão celular: mitose </w:t>
      </w:r>
    </w:p>
    <w:p w14:paraId="63E1F26D" w14:textId="77777777" w:rsidR="00454797" w:rsidRPr="008535F4" w:rsidRDefault="00454797" w:rsidP="00454797">
      <w:pPr>
        <w:pStyle w:val="Ttulo3"/>
        <w:numPr>
          <w:ilvl w:val="0"/>
          <w:numId w:val="11"/>
        </w:numPr>
        <w:rPr>
          <w:rFonts w:eastAsia="Times New Roman" w:cstheme="majorHAnsi"/>
          <w:b w:val="0"/>
          <w:sz w:val="22"/>
          <w:lang w:val="pt-PT" w:eastAsia="pt-PT"/>
        </w:rPr>
      </w:pPr>
      <w:r w:rsidRPr="008535F4">
        <w:rPr>
          <w:rFonts w:eastAsia="Times New Roman" w:cstheme="majorHAnsi"/>
          <w:b w:val="0"/>
          <w:sz w:val="22"/>
          <w:lang w:val="pt-PT" w:eastAsia="pt-PT"/>
        </w:rPr>
        <w:t>Processos de Reprodução</w:t>
      </w:r>
    </w:p>
    <w:p w14:paraId="6E1E3229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bCs/>
          <w:lang w:eastAsia="pt-PT"/>
        </w:rPr>
      </w:pPr>
      <w:r w:rsidRPr="008535F4">
        <w:rPr>
          <w:rFonts w:eastAsia="Times New Roman" w:cstheme="majorHAnsi"/>
          <w:bCs/>
          <w:lang w:eastAsia="pt-PT"/>
        </w:rPr>
        <w:t>Reprodução assexuada</w:t>
      </w:r>
    </w:p>
    <w:p w14:paraId="177744AF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bCs/>
          <w:lang w:eastAsia="pt-PT"/>
        </w:rPr>
      </w:pPr>
      <w:r w:rsidRPr="008535F4">
        <w:rPr>
          <w:rFonts w:eastAsia="Times New Roman" w:cstheme="majorHAnsi"/>
          <w:bCs/>
          <w:lang w:eastAsia="pt-PT"/>
        </w:rPr>
        <w:t xml:space="preserve">Reprodução sexuada: Meiose </w:t>
      </w:r>
    </w:p>
    <w:p w14:paraId="5592B5BB" w14:textId="77777777" w:rsidR="00454797" w:rsidRPr="008535F4" w:rsidRDefault="00454797" w:rsidP="00454797">
      <w:pPr>
        <w:pStyle w:val="Ttulo3"/>
        <w:numPr>
          <w:ilvl w:val="0"/>
          <w:numId w:val="11"/>
        </w:numPr>
        <w:rPr>
          <w:rFonts w:eastAsia="Times New Roman" w:cstheme="majorHAnsi"/>
          <w:b w:val="0"/>
          <w:sz w:val="22"/>
          <w:lang w:val="pt-PT" w:eastAsia="pt-PT"/>
        </w:rPr>
      </w:pPr>
      <w:r w:rsidRPr="008535F4">
        <w:rPr>
          <w:rFonts w:eastAsia="Times New Roman" w:cstheme="majorHAnsi"/>
          <w:b w:val="0"/>
          <w:sz w:val="22"/>
          <w:lang w:val="pt-PT" w:eastAsia="pt-PT"/>
        </w:rPr>
        <w:t>Hereditariedade</w:t>
      </w:r>
    </w:p>
    <w:p w14:paraId="78529DB3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lang w:eastAsia="pt-PT"/>
        </w:rPr>
      </w:pPr>
      <w:r w:rsidRPr="008535F4">
        <w:rPr>
          <w:rFonts w:eastAsia="Times New Roman" w:cstheme="majorHAnsi"/>
          <w:lang w:eastAsia="pt-PT"/>
        </w:rPr>
        <w:t>Unidade funcional da hereditariedade</w:t>
      </w:r>
    </w:p>
    <w:p w14:paraId="1478C2E8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lang w:eastAsia="pt-PT"/>
        </w:rPr>
      </w:pPr>
      <w:r w:rsidRPr="008535F4">
        <w:rPr>
          <w:rFonts w:eastAsia="Times New Roman" w:cstheme="majorHAnsi"/>
          <w:lang w:eastAsia="pt-PT"/>
        </w:rPr>
        <w:t>Genótipo e fenótipo</w:t>
      </w:r>
    </w:p>
    <w:p w14:paraId="77DA00E4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lang w:eastAsia="pt-PT"/>
        </w:rPr>
      </w:pPr>
      <w:r w:rsidRPr="008535F4">
        <w:rPr>
          <w:rFonts w:eastAsia="Times New Roman" w:cstheme="majorHAnsi"/>
          <w:lang w:eastAsia="pt-PT"/>
        </w:rPr>
        <w:t>Individuo homozigótico e heterozigótico</w:t>
      </w:r>
    </w:p>
    <w:p w14:paraId="01611707" w14:textId="77777777" w:rsidR="00454797" w:rsidRPr="008535F4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lang w:eastAsia="pt-PT"/>
        </w:rPr>
      </w:pPr>
      <w:r w:rsidRPr="008535F4">
        <w:rPr>
          <w:rFonts w:eastAsia="Times New Roman" w:cstheme="majorHAnsi"/>
          <w:lang w:eastAsia="pt-PT"/>
        </w:rPr>
        <w:t>Mutações genéticas</w:t>
      </w:r>
    </w:p>
    <w:p w14:paraId="04BD261D" w14:textId="77777777" w:rsidR="00454797" w:rsidRPr="00AC5A7F" w:rsidRDefault="00454797" w:rsidP="00454797">
      <w:pPr>
        <w:pStyle w:val="Ttulo3"/>
        <w:numPr>
          <w:ilvl w:val="0"/>
          <w:numId w:val="11"/>
        </w:numPr>
        <w:rPr>
          <w:rFonts w:eastAsia="Times New Roman" w:cstheme="majorHAnsi"/>
          <w:b w:val="0"/>
          <w:sz w:val="22"/>
          <w:lang w:val="pt-PT" w:eastAsia="pt-PT"/>
        </w:rPr>
      </w:pPr>
      <w:r w:rsidRPr="00AC5A7F">
        <w:rPr>
          <w:rFonts w:eastAsia="Times New Roman" w:cstheme="majorHAnsi"/>
          <w:b w:val="0"/>
          <w:sz w:val="22"/>
          <w:lang w:val="pt-PT" w:eastAsia="pt-PT"/>
        </w:rPr>
        <w:t xml:space="preserve">Interações com </w:t>
      </w:r>
      <w:r w:rsidR="008535F4" w:rsidRPr="00AC5A7F">
        <w:rPr>
          <w:rFonts w:eastAsia="Times New Roman" w:cstheme="majorHAnsi"/>
          <w:b w:val="0"/>
          <w:sz w:val="22"/>
          <w:lang w:val="pt-PT" w:eastAsia="pt-PT"/>
        </w:rPr>
        <w:t>Microrganismos</w:t>
      </w:r>
    </w:p>
    <w:p w14:paraId="676BCD59" w14:textId="77777777" w:rsidR="00454797" w:rsidRPr="00AC5A7F" w:rsidRDefault="00454797" w:rsidP="00454797">
      <w:pPr>
        <w:pStyle w:val="Ttulo4"/>
        <w:numPr>
          <w:ilvl w:val="0"/>
          <w:numId w:val="12"/>
        </w:numPr>
        <w:ind w:left="1134"/>
        <w:rPr>
          <w:rFonts w:eastAsia="Times New Roman" w:cstheme="majorHAnsi"/>
          <w:szCs w:val="24"/>
          <w:lang w:eastAsia="pt-PT"/>
        </w:rPr>
      </w:pPr>
      <w:r w:rsidRPr="00AC5A7F">
        <w:rPr>
          <w:rFonts w:eastAsia="Times New Roman" w:cstheme="majorHAnsi"/>
          <w:szCs w:val="24"/>
          <w:lang w:eastAsia="pt-PT"/>
        </w:rPr>
        <w:t>Importância dos microrganismos do solo para os ecossistemas: solo, processos de tratamento de resíduos, micorrizas</w:t>
      </w:r>
    </w:p>
    <w:p w14:paraId="2DB1B81E" w14:textId="77777777" w:rsid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</w:p>
    <w:p w14:paraId="15F116E4" w14:textId="77777777" w:rsidR="00CB69E4" w:rsidRPr="00CB69E4" w:rsidRDefault="00CB69E4" w:rsidP="00CB69E4">
      <w:pPr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  <w:b/>
          <w:bCs/>
        </w:rPr>
        <w:t>CARACTERIZAÇÃO DA PROVA</w:t>
      </w:r>
    </w:p>
    <w:p w14:paraId="5D07E0F3" w14:textId="77777777" w:rsidR="008535F4" w:rsidRPr="008535F4" w:rsidRDefault="008535F4" w:rsidP="008535F4">
      <w:pPr>
        <w:jc w:val="both"/>
        <w:rPr>
          <w:rFonts w:asciiTheme="majorHAnsi" w:hAnsiTheme="majorHAnsi" w:cstheme="majorHAnsi"/>
        </w:rPr>
      </w:pPr>
      <w:r w:rsidRPr="008535F4">
        <w:rPr>
          <w:rFonts w:asciiTheme="majorHAnsi" w:hAnsiTheme="majorHAnsi" w:cstheme="majorHAnsi"/>
        </w:rPr>
        <w:t>As respostas são registadas em folha própria, fornecida pelo estabelecimento de ensino (modelo oficial).</w:t>
      </w:r>
    </w:p>
    <w:p w14:paraId="124DA5FE" w14:textId="77777777" w:rsidR="004B582F" w:rsidRPr="00CF75A2" w:rsidRDefault="004B582F" w:rsidP="00CB69E4">
      <w:pPr>
        <w:jc w:val="both"/>
        <w:rPr>
          <w:rFonts w:asciiTheme="majorHAnsi" w:hAnsiTheme="majorHAnsi" w:cstheme="majorHAnsi"/>
          <w:b/>
          <w:bCs/>
        </w:rPr>
      </w:pPr>
    </w:p>
    <w:p w14:paraId="6150F6D1" w14:textId="31BC1EFC" w:rsidR="00CF75A2" w:rsidRDefault="00CB69E4" w:rsidP="008535F4">
      <w:pPr>
        <w:jc w:val="both"/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  <w:b/>
          <w:bCs/>
        </w:rPr>
        <w:t>MATERIAL</w:t>
      </w:r>
    </w:p>
    <w:p w14:paraId="5436E5B2" w14:textId="04B9A739" w:rsidR="008535F4" w:rsidRPr="008535F4" w:rsidRDefault="008535F4" w:rsidP="00CF75A2">
      <w:pPr>
        <w:spacing w:after="0"/>
        <w:jc w:val="both"/>
        <w:rPr>
          <w:rFonts w:asciiTheme="majorHAnsi" w:hAnsiTheme="majorHAnsi" w:cstheme="majorHAnsi"/>
        </w:rPr>
      </w:pPr>
      <w:r w:rsidRPr="008535F4">
        <w:rPr>
          <w:rFonts w:asciiTheme="majorHAnsi" w:hAnsiTheme="majorHAnsi" w:cstheme="majorHAnsi"/>
        </w:rPr>
        <w:t>Como material de escrita, apenas pode ser usada caneta ou esferográfica de tinta azul ou preta.</w:t>
      </w:r>
    </w:p>
    <w:p w14:paraId="5916B541" w14:textId="77777777" w:rsidR="00CB69E4" w:rsidRPr="00CB69E4" w:rsidRDefault="008535F4" w:rsidP="00CF75A2">
      <w:pPr>
        <w:spacing w:after="0"/>
        <w:jc w:val="both"/>
        <w:rPr>
          <w:rFonts w:asciiTheme="majorHAnsi" w:hAnsiTheme="majorHAnsi" w:cstheme="majorHAnsi"/>
        </w:rPr>
      </w:pPr>
      <w:r w:rsidRPr="008535F4">
        <w:rPr>
          <w:rFonts w:asciiTheme="majorHAnsi" w:hAnsiTheme="majorHAnsi" w:cstheme="majorHAnsi"/>
        </w:rPr>
        <w:t>Não é permitido o uso de corretor.</w:t>
      </w:r>
    </w:p>
    <w:p w14:paraId="5734656A" w14:textId="77777777" w:rsidR="004B582F" w:rsidRDefault="004B582F" w:rsidP="00CB69E4">
      <w:pPr>
        <w:rPr>
          <w:rFonts w:asciiTheme="majorHAnsi" w:hAnsiTheme="majorHAnsi" w:cstheme="majorHAnsi"/>
        </w:rPr>
      </w:pPr>
    </w:p>
    <w:p w14:paraId="10237571" w14:textId="366EB2B0" w:rsidR="00CB69E4" w:rsidRPr="00CF75A2" w:rsidRDefault="00CB69E4" w:rsidP="00CF75A2">
      <w:pPr>
        <w:spacing w:after="0"/>
        <w:jc w:val="both"/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  <w:b/>
          <w:bCs/>
        </w:rPr>
        <w:t>DURAÇÃO</w:t>
      </w:r>
      <w:r w:rsidRPr="00CB69E4">
        <w:rPr>
          <w:rFonts w:asciiTheme="majorHAnsi" w:hAnsiTheme="majorHAnsi" w:cstheme="majorHAnsi"/>
        </w:rPr>
        <w:br/>
      </w:r>
      <w:r w:rsidR="001345C6" w:rsidRPr="001345C6">
        <w:rPr>
          <w:rFonts w:asciiTheme="majorHAnsi" w:hAnsiTheme="majorHAnsi" w:cstheme="majorHAnsi"/>
        </w:rPr>
        <w:t>A duração total da Prova, que engloba a componente da área geral e a componente da área específica, é de 120 minutos, a que acresce 30 minutos de tolerância. Cada componente foi construída para ser resolvida em 60 minutos, ficando, contudo, a gestão do tempo de resolução ao critério do candidato.</w:t>
      </w:r>
    </w:p>
    <w:p w14:paraId="3B5D330A" w14:textId="77777777" w:rsidR="004B582F" w:rsidRPr="00CB69E4" w:rsidRDefault="004B582F" w:rsidP="00CB69E4">
      <w:pPr>
        <w:jc w:val="both"/>
        <w:rPr>
          <w:rFonts w:asciiTheme="majorHAnsi" w:hAnsiTheme="majorHAnsi" w:cstheme="majorHAnsi"/>
        </w:rPr>
      </w:pPr>
    </w:p>
    <w:p w14:paraId="017BC8F3" w14:textId="77777777" w:rsidR="00CB69E4" w:rsidRPr="00CB69E4" w:rsidRDefault="00CB69E4" w:rsidP="00CB69E4">
      <w:pPr>
        <w:tabs>
          <w:tab w:val="left" w:pos="945"/>
        </w:tabs>
      </w:pPr>
    </w:p>
    <w:sectPr w:rsidR="00CB69E4" w:rsidRPr="00CB69E4" w:rsidSect="00A526C4">
      <w:head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26B00" w14:textId="77777777" w:rsidR="00AB2823" w:rsidRDefault="00AB2823" w:rsidP="00CB69E4">
      <w:pPr>
        <w:spacing w:after="0" w:line="240" w:lineRule="auto"/>
      </w:pPr>
      <w:r>
        <w:separator/>
      </w:r>
    </w:p>
  </w:endnote>
  <w:endnote w:type="continuationSeparator" w:id="0">
    <w:p w14:paraId="3B6A16A8" w14:textId="77777777" w:rsidR="00AB2823" w:rsidRDefault="00AB2823" w:rsidP="00CB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Arial-BoldMT"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A8AD0" w14:textId="77777777" w:rsidR="00AB2823" w:rsidRDefault="00AB2823" w:rsidP="00CB69E4">
      <w:pPr>
        <w:spacing w:after="0" w:line="240" w:lineRule="auto"/>
      </w:pPr>
      <w:r>
        <w:separator/>
      </w:r>
    </w:p>
  </w:footnote>
  <w:footnote w:type="continuationSeparator" w:id="0">
    <w:p w14:paraId="08EBA970" w14:textId="77777777" w:rsidR="00AB2823" w:rsidRDefault="00AB2823" w:rsidP="00CB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D8AD0" w14:textId="77777777" w:rsidR="00CB69E4" w:rsidRPr="004B582F" w:rsidRDefault="00CB69E4" w:rsidP="004B582F">
    <w:pPr>
      <w:pStyle w:val="Cabealho"/>
      <w:tabs>
        <w:tab w:val="clear" w:pos="4252"/>
        <w:tab w:val="clear" w:pos="8504"/>
        <w:tab w:val="left" w:pos="660"/>
      </w:tabs>
      <w:jc w:val="right"/>
      <w:rPr>
        <w:b/>
        <w:bCs/>
      </w:rPr>
    </w:pPr>
    <w:r w:rsidRPr="00CB69E4"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75B57E8A" wp14:editId="4EC461D4">
          <wp:simplePos x="0" y="0"/>
          <wp:positionH relativeFrom="column">
            <wp:posOffset>-241935</wp:posOffset>
          </wp:positionH>
          <wp:positionV relativeFrom="paragraph">
            <wp:posOffset>-257175</wp:posOffset>
          </wp:positionV>
          <wp:extent cx="4762500" cy="713740"/>
          <wp:effectExtent l="0" t="0" r="0" b="0"/>
          <wp:wrapTight wrapText="bothSides">
            <wp:wrapPolygon edited="0">
              <wp:start x="19296" y="2306"/>
              <wp:lineTo x="346" y="4996"/>
              <wp:lineTo x="403" y="15758"/>
              <wp:lineTo x="18259" y="16911"/>
              <wp:lineTo x="20794" y="16911"/>
              <wp:lineTo x="20736" y="13452"/>
              <wp:lineTo x="20390" y="6918"/>
              <wp:lineTo x="20160" y="4228"/>
              <wp:lineTo x="19814" y="2306"/>
              <wp:lineTo x="19296" y="2306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82F">
      <w:tab/>
      <w:t xml:space="preserve"> </w:t>
    </w:r>
    <w:r w:rsidR="004B582F" w:rsidRPr="004B582F">
      <w:rPr>
        <w:b/>
        <w:bCs/>
      </w:rPr>
      <w:t>REDE NORTE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7984"/>
    <w:multiLevelType w:val="hybridMultilevel"/>
    <w:tmpl w:val="3D540A5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5B4"/>
    <w:multiLevelType w:val="hybridMultilevel"/>
    <w:tmpl w:val="6AA6E6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7B4FEC"/>
    <w:multiLevelType w:val="hybridMultilevel"/>
    <w:tmpl w:val="B0B826A6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BF5C8D"/>
    <w:multiLevelType w:val="hybridMultilevel"/>
    <w:tmpl w:val="BA8C167A"/>
    <w:lvl w:ilvl="0" w:tplc="C53C3AC4">
      <w:start w:val="1"/>
      <w:numFmt w:val="upperLetter"/>
      <w:pStyle w:val="Ttulo3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B0792"/>
    <w:multiLevelType w:val="hybridMultilevel"/>
    <w:tmpl w:val="FF68BDA0"/>
    <w:lvl w:ilvl="0" w:tplc="B51CA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746B5"/>
    <w:multiLevelType w:val="hybridMultilevel"/>
    <w:tmpl w:val="9E1C1570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52A89"/>
    <w:multiLevelType w:val="hybridMultilevel"/>
    <w:tmpl w:val="2646C77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C839A3"/>
    <w:multiLevelType w:val="hybridMultilevel"/>
    <w:tmpl w:val="B462B27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078B9"/>
    <w:multiLevelType w:val="hybridMultilevel"/>
    <w:tmpl w:val="218C5E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15DEE"/>
    <w:multiLevelType w:val="hybridMultilevel"/>
    <w:tmpl w:val="7D7EE3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536C0"/>
    <w:multiLevelType w:val="hybridMultilevel"/>
    <w:tmpl w:val="5C32562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633BD"/>
    <w:multiLevelType w:val="hybridMultilevel"/>
    <w:tmpl w:val="3D483DA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10"/>
  </w:num>
  <w:num w:numId="5">
    <w:abstractNumId w:val="7"/>
  </w:num>
  <w:num w:numId="6">
    <w:abstractNumId w:val="2"/>
  </w:num>
  <w:num w:numId="7">
    <w:abstractNumId w:val="9"/>
  </w:num>
  <w:num w:numId="8">
    <w:abstractNumId w:val="6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9E4"/>
    <w:rsid w:val="000B5D7A"/>
    <w:rsid w:val="001345C6"/>
    <w:rsid w:val="001D66F1"/>
    <w:rsid w:val="00375F96"/>
    <w:rsid w:val="003E28FE"/>
    <w:rsid w:val="00454797"/>
    <w:rsid w:val="004B582F"/>
    <w:rsid w:val="008137BE"/>
    <w:rsid w:val="008535F4"/>
    <w:rsid w:val="008827A9"/>
    <w:rsid w:val="008A3817"/>
    <w:rsid w:val="008C5CD0"/>
    <w:rsid w:val="009811D1"/>
    <w:rsid w:val="00A526C4"/>
    <w:rsid w:val="00AB2823"/>
    <w:rsid w:val="00AC5A7F"/>
    <w:rsid w:val="00B63FA0"/>
    <w:rsid w:val="00B87BAB"/>
    <w:rsid w:val="00BE003F"/>
    <w:rsid w:val="00CB69E4"/>
    <w:rsid w:val="00CD061B"/>
    <w:rsid w:val="00CF75A2"/>
    <w:rsid w:val="00D56CE8"/>
    <w:rsid w:val="00F1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12A5C0"/>
  <w15:chartTrackingRefBased/>
  <w15:docId w15:val="{81C5D24C-F4C6-F046-BEF4-491A7784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69E4"/>
    <w:pPr>
      <w:spacing w:after="160" w:line="259" w:lineRule="auto"/>
    </w:pPr>
    <w:rPr>
      <w:sz w:val="22"/>
      <w:szCs w:val="22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54797"/>
    <w:pPr>
      <w:keepNext/>
      <w:keepLines/>
      <w:numPr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lang w:val="en-GB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4547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rsid w:val="00454797"/>
    <w:pPr>
      <w:keepNext/>
      <w:keepLines/>
      <w:spacing w:before="40" w:after="0"/>
      <w:ind w:left="708"/>
      <w:jc w:val="both"/>
      <w:outlineLvl w:val="4"/>
    </w:pPr>
    <w:rPr>
      <w:rFonts w:asciiTheme="majorHAnsi" w:eastAsiaTheme="majorEastAsia" w:hAnsiTheme="majorHAnsi" w:cstheme="majorBidi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B69E4"/>
  </w:style>
  <w:style w:type="paragraph" w:styleId="Rodap">
    <w:name w:val="footer"/>
    <w:basedOn w:val="Normal"/>
    <w:link w:val="Rodap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B69E4"/>
  </w:style>
  <w:style w:type="character" w:customStyle="1" w:styleId="fontstyle01">
    <w:name w:val="fontstyle01"/>
    <w:basedOn w:val="Tipodeletrapredefinidodopargrafo"/>
    <w:rsid w:val="00CB69E4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Tipodeletrapredefinidodopargrafo"/>
    <w:rsid w:val="00CB69E4"/>
    <w:rPr>
      <w:rFonts w:ascii="Arial-BoldMT" w:hAnsi="Arial-BoldMT" w:hint="default"/>
      <w:b/>
      <w:bCs/>
      <w:i w:val="0"/>
      <w:iCs w:val="0"/>
      <w:color w:val="242021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CB69E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69E4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CB69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54797"/>
    <w:rPr>
      <w:rFonts w:asciiTheme="majorHAnsi" w:eastAsiaTheme="majorEastAsia" w:hAnsiTheme="majorHAnsi" w:cstheme="majorBidi"/>
      <w:b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454797"/>
    <w:rPr>
      <w:rFonts w:asciiTheme="majorHAnsi" w:eastAsiaTheme="majorEastAsia" w:hAnsiTheme="majorHAnsi" w:cstheme="majorBidi"/>
      <w:iCs/>
      <w:sz w:val="22"/>
      <w:szCs w:val="22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454797"/>
    <w:rPr>
      <w:rFonts w:asciiTheme="majorHAnsi" w:eastAsiaTheme="majorEastAsia" w:hAnsiTheme="majorHAnsi" w:cstheme="majorBidi"/>
      <w:sz w:val="22"/>
      <w:szCs w:val="22"/>
      <w:lang w:val="en-GB"/>
    </w:rPr>
  </w:style>
  <w:style w:type="character" w:styleId="Forte">
    <w:name w:val="Strong"/>
    <w:basedOn w:val="Tipodeletrapredefinidodopargrafo"/>
    <w:uiPriority w:val="22"/>
    <w:qFormat/>
    <w:rsid w:val="00454797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5479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5479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54797"/>
    <w:rPr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81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811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E5F68C4F58C4468229993B5B5062C5" ma:contentTypeVersion="10" ma:contentTypeDescription="Criar um novo documento." ma:contentTypeScope="" ma:versionID="a749469a2621065e29fefde3ac22507c">
  <xsd:schema xmlns:xsd="http://www.w3.org/2001/XMLSchema" xmlns:xs="http://www.w3.org/2001/XMLSchema" xmlns:p="http://schemas.microsoft.com/office/2006/metadata/properties" xmlns:ns3="e321d15f-5f8a-4172-b8d3-ede8f4f5be6c" targetNamespace="http://schemas.microsoft.com/office/2006/metadata/properties" ma:root="true" ma:fieldsID="ca87cf3b5f30afeea746b938c3b5a352" ns3:_="">
    <xsd:import namespace="e321d15f-5f8a-4172-b8d3-ede8f4f5be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1d15f-5f8a-4172-b8d3-ede8f4f5b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C470EE-291F-4C7E-9D5F-DE039C471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1d15f-5f8a-4172-b8d3-ede8f4f5be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DFB71D-8918-44F0-B8BA-C9E75257BB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D1FA8E-4670-4E39-A559-A978F7CA0172}">
  <ds:schemaRefs>
    <ds:schemaRef ds:uri="e321d15f-5f8a-4172-b8d3-ede8f4f5be6c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Pinto</dc:creator>
  <cp:keywords/>
  <dc:description/>
  <cp:lastModifiedBy>Teresa Maria Dos Santos Pinto</cp:lastModifiedBy>
  <cp:revision>2</cp:revision>
  <dcterms:created xsi:type="dcterms:W3CDTF">2021-06-14T14:18:00Z</dcterms:created>
  <dcterms:modified xsi:type="dcterms:W3CDTF">2021-06-14T14:18:00Z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0x0101001AE5F68C4F58C4468229993B5B5062C5</vt:lpwstr>
  </property>
</Properties>
</file>